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A67A" w14:textId="21FD60DF" w:rsidR="00DA1AE9" w:rsidRPr="00B93C42" w:rsidRDefault="009D4201" w:rsidP="00B93C42">
      <w:pPr>
        <w:spacing w:after="240" w:line="360" w:lineRule="auto"/>
        <w:jc w:val="both"/>
        <w:rPr>
          <w:rFonts w:ascii="Georgia" w:hAnsi="Georgia"/>
          <w:b/>
          <w:sz w:val="28"/>
          <w:szCs w:val="28"/>
          <w:lang w:val="fr-FR"/>
        </w:rPr>
      </w:pPr>
      <w:r>
        <w:rPr>
          <w:rFonts w:ascii="Georgia" w:hAnsi="Georgia"/>
          <w:b/>
          <w:sz w:val="28"/>
          <w:szCs w:val="28"/>
          <w:lang w:val="fr-FR"/>
        </w:rPr>
        <w:t>Marché</w:t>
      </w:r>
      <w:r w:rsidR="00F4267C" w:rsidRPr="00B93C42">
        <w:rPr>
          <w:rFonts w:ascii="Georgia" w:hAnsi="Georgia"/>
          <w:b/>
          <w:sz w:val="28"/>
          <w:szCs w:val="28"/>
          <w:lang w:val="fr-FR"/>
        </w:rPr>
        <w:t xml:space="preserve"> des capitaux : </w:t>
      </w:r>
      <w:r w:rsidR="00AC3BEF" w:rsidRPr="00B93C42">
        <w:rPr>
          <w:rFonts w:ascii="Georgia" w:hAnsi="Georgia"/>
          <w:b/>
          <w:sz w:val="28"/>
          <w:szCs w:val="28"/>
          <w:lang w:val="fr-FR"/>
        </w:rPr>
        <w:t xml:space="preserve">un socle de croissance économique en quête du professionnalisme </w:t>
      </w:r>
      <w:r w:rsidR="00F4267C" w:rsidRPr="00B93C42">
        <w:rPr>
          <w:rFonts w:ascii="Georgia" w:hAnsi="Georgia"/>
          <w:b/>
          <w:sz w:val="28"/>
          <w:szCs w:val="28"/>
          <w:lang w:val="fr-FR"/>
        </w:rPr>
        <w:t xml:space="preserve">  </w:t>
      </w:r>
    </w:p>
    <w:p w14:paraId="4E0A8380" w14:textId="71356F14" w:rsidR="000A0D16" w:rsidRPr="00B93C42" w:rsidRDefault="000A0D16" w:rsidP="00B93C42">
      <w:pPr>
        <w:spacing w:after="240" w:line="360" w:lineRule="auto"/>
        <w:jc w:val="both"/>
        <w:rPr>
          <w:rFonts w:ascii="Georgia" w:hAnsi="Georgia"/>
          <w:b/>
          <w:sz w:val="28"/>
          <w:szCs w:val="28"/>
          <w:lang w:val="fr-FR"/>
        </w:rPr>
      </w:pPr>
      <w:r w:rsidRPr="00B93C42">
        <w:rPr>
          <w:rFonts w:ascii="Georgia" w:hAnsi="Georgia"/>
          <w:b/>
          <w:sz w:val="28"/>
          <w:szCs w:val="28"/>
          <w:lang w:val="fr-FR"/>
        </w:rPr>
        <w:t xml:space="preserve">A l’occasion </w:t>
      </w:r>
      <w:r w:rsidR="009D4201">
        <w:rPr>
          <w:rFonts w:ascii="Georgia" w:hAnsi="Georgia"/>
          <w:b/>
          <w:sz w:val="28"/>
          <w:szCs w:val="28"/>
          <w:lang w:val="fr-FR"/>
        </w:rPr>
        <w:t>de la 3</w:t>
      </w:r>
      <w:r w:rsidR="009D4201" w:rsidRPr="009D4201">
        <w:rPr>
          <w:rFonts w:ascii="Georgia" w:hAnsi="Georgia"/>
          <w:b/>
          <w:sz w:val="28"/>
          <w:szCs w:val="28"/>
          <w:vertAlign w:val="superscript"/>
          <w:lang w:val="fr-FR"/>
        </w:rPr>
        <w:t>ème</w:t>
      </w:r>
      <w:r w:rsidR="009D4201">
        <w:rPr>
          <w:rFonts w:ascii="Georgia" w:hAnsi="Georgia"/>
          <w:b/>
          <w:sz w:val="28"/>
          <w:szCs w:val="28"/>
          <w:lang w:val="fr-FR"/>
        </w:rPr>
        <w:t xml:space="preserve"> </w:t>
      </w:r>
      <w:r w:rsidR="00F4267C" w:rsidRPr="00B93C42">
        <w:rPr>
          <w:rFonts w:ascii="Georgia" w:hAnsi="Georgia"/>
          <w:b/>
          <w:sz w:val="28"/>
          <w:szCs w:val="28"/>
          <w:lang w:val="fr-FR"/>
        </w:rPr>
        <w:t xml:space="preserve">Edition du </w:t>
      </w:r>
      <w:r w:rsidR="009D4201">
        <w:rPr>
          <w:rFonts w:ascii="Georgia" w:hAnsi="Georgia"/>
          <w:b/>
          <w:sz w:val="28"/>
          <w:szCs w:val="28"/>
          <w:lang w:val="fr-FR"/>
        </w:rPr>
        <w:t>‘‘</w:t>
      </w:r>
      <w:r w:rsidR="00F4267C" w:rsidRPr="00B93C42">
        <w:rPr>
          <w:rFonts w:ascii="Georgia" w:hAnsi="Georgia"/>
          <w:b/>
          <w:sz w:val="28"/>
          <w:szCs w:val="28"/>
          <w:lang w:val="fr-FR"/>
        </w:rPr>
        <w:t>Café Banques et Finances</w:t>
      </w:r>
      <w:r w:rsidR="009D4201">
        <w:rPr>
          <w:rFonts w:ascii="Georgia" w:hAnsi="Georgia"/>
          <w:b/>
          <w:sz w:val="28"/>
          <w:szCs w:val="28"/>
          <w:lang w:val="fr-FR"/>
        </w:rPr>
        <w:t>’’</w:t>
      </w:r>
      <w:r w:rsidR="00F4267C" w:rsidRPr="00B93C42">
        <w:rPr>
          <w:rFonts w:ascii="Georgia" w:hAnsi="Georgia"/>
          <w:b/>
          <w:sz w:val="28"/>
          <w:szCs w:val="28"/>
          <w:lang w:val="fr-FR"/>
        </w:rPr>
        <w:t>, l’</w:t>
      </w:r>
      <w:r w:rsidR="009D4201" w:rsidRPr="00B93C42">
        <w:rPr>
          <w:rFonts w:ascii="Georgia" w:hAnsi="Georgia"/>
          <w:b/>
          <w:sz w:val="28"/>
          <w:szCs w:val="28"/>
          <w:lang w:val="fr-FR"/>
        </w:rPr>
        <w:t xml:space="preserve">ABEF </w:t>
      </w:r>
      <w:r w:rsidR="009D4201">
        <w:rPr>
          <w:rFonts w:ascii="Georgia" w:hAnsi="Georgia"/>
          <w:b/>
          <w:sz w:val="28"/>
          <w:szCs w:val="28"/>
          <w:lang w:val="fr-FR"/>
        </w:rPr>
        <w:t>(</w:t>
      </w:r>
      <w:r w:rsidR="00F4267C" w:rsidRPr="00B93C42">
        <w:rPr>
          <w:rFonts w:ascii="Georgia" w:hAnsi="Georgia"/>
          <w:b/>
          <w:sz w:val="28"/>
          <w:szCs w:val="28"/>
          <w:lang w:val="fr-FR"/>
        </w:rPr>
        <w:t xml:space="preserve">association des Banques et établissements </w:t>
      </w:r>
      <w:r w:rsidR="009D4201">
        <w:rPr>
          <w:rFonts w:ascii="Georgia" w:hAnsi="Georgia"/>
          <w:b/>
          <w:sz w:val="28"/>
          <w:szCs w:val="28"/>
          <w:lang w:val="fr-FR"/>
        </w:rPr>
        <w:t>Financiers</w:t>
      </w:r>
      <w:r w:rsidR="00F4267C" w:rsidRPr="00B93C42">
        <w:rPr>
          <w:rFonts w:ascii="Georgia" w:hAnsi="Georgia"/>
          <w:b/>
          <w:sz w:val="28"/>
          <w:szCs w:val="28"/>
          <w:lang w:val="fr-FR"/>
        </w:rPr>
        <w:t>)</w:t>
      </w:r>
      <w:r w:rsidRPr="00B93C42">
        <w:rPr>
          <w:rFonts w:ascii="Georgia" w:hAnsi="Georgia"/>
          <w:b/>
          <w:sz w:val="28"/>
          <w:szCs w:val="28"/>
          <w:lang w:val="fr-FR"/>
        </w:rPr>
        <w:t xml:space="preserve"> a dressé l’état des lieux du marché des capitaux au Burundi. Si les progrès notables </w:t>
      </w:r>
      <w:r w:rsidR="007B1C94" w:rsidRPr="00B93C42">
        <w:rPr>
          <w:rFonts w:ascii="Georgia" w:hAnsi="Georgia"/>
          <w:b/>
          <w:sz w:val="28"/>
          <w:szCs w:val="28"/>
          <w:lang w:val="fr-FR"/>
        </w:rPr>
        <w:t>sont évidents,</w:t>
      </w:r>
      <w:r w:rsidRPr="00B93C42">
        <w:rPr>
          <w:rFonts w:ascii="Georgia" w:hAnsi="Georgia"/>
          <w:b/>
          <w:sz w:val="28"/>
          <w:szCs w:val="28"/>
          <w:lang w:val="fr-FR"/>
        </w:rPr>
        <w:t xml:space="preserve"> le déficit de transparence et la bonne gouvernance au sein des entreprises </w:t>
      </w:r>
      <w:r w:rsidR="007B1C94" w:rsidRPr="00B93C42">
        <w:rPr>
          <w:rFonts w:ascii="Georgia" w:hAnsi="Georgia"/>
          <w:b/>
          <w:sz w:val="28"/>
          <w:szCs w:val="28"/>
          <w:lang w:val="fr-FR"/>
        </w:rPr>
        <w:t>est</w:t>
      </w:r>
      <w:r w:rsidR="00C029EB" w:rsidRPr="00B93C42">
        <w:rPr>
          <w:rFonts w:ascii="Georgia" w:hAnsi="Georgia"/>
          <w:b/>
          <w:sz w:val="28"/>
          <w:szCs w:val="28"/>
          <w:lang w:val="fr-FR"/>
        </w:rPr>
        <w:t xml:space="preserve"> à corriger</w:t>
      </w:r>
      <w:r w:rsidRPr="00B93C42">
        <w:rPr>
          <w:rFonts w:ascii="Georgia" w:hAnsi="Georgia"/>
          <w:b/>
          <w:sz w:val="28"/>
          <w:szCs w:val="28"/>
          <w:lang w:val="fr-FR"/>
        </w:rPr>
        <w:t xml:space="preserve"> </w:t>
      </w:r>
      <w:r w:rsidR="00C029EB" w:rsidRPr="00B93C42">
        <w:rPr>
          <w:rFonts w:ascii="Georgia" w:hAnsi="Georgia"/>
          <w:b/>
          <w:sz w:val="28"/>
          <w:szCs w:val="28"/>
          <w:lang w:val="fr-FR"/>
        </w:rPr>
        <w:t xml:space="preserve">pour </w:t>
      </w:r>
      <w:r w:rsidRPr="00B93C42">
        <w:rPr>
          <w:rFonts w:ascii="Georgia" w:hAnsi="Georgia"/>
          <w:b/>
          <w:sz w:val="28"/>
          <w:szCs w:val="28"/>
          <w:lang w:val="fr-FR"/>
        </w:rPr>
        <w:t xml:space="preserve">l’intégration </w:t>
      </w:r>
      <w:r w:rsidR="00AC3BEF" w:rsidRPr="00B93C42">
        <w:rPr>
          <w:rFonts w:ascii="Georgia" w:hAnsi="Georgia"/>
          <w:b/>
          <w:sz w:val="28"/>
          <w:szCs w:val="28"/>
          <w:lang w:val="fr-FR"/>
        </w:rPr>
        <w:t xml:space="preserve">significative </w:t>
      </w:r>
      <w:r w:rsidRPr="00B93C42">
        <w:rPr>
          <w:rFonts w:ascii="Georgia" w:hAnsi="Georgia"/>
          <w:b/>
          <w:sz w:val="28"/>
          <w:szCs w:val="28"/>
          <w:lang w:val="fr-FR"/>
        </w:rPr>
        <w:t xml:space="preserve">en bourse. </w:t>
      </w:r>
    </w:p>
    <w:p w14:paraId="522CD141" w14:textId="77777777" w:rsidR="009D4201" w:rsidRDefault="00057718" w:rsidP="00B93C42">
      <w:pPr>
        <w:pStyle w:val="NormalWeb"/>
        <w:spacing w:line="360" w:lineRule="auto"/>
        <w:jc w:val="both"/>
        <w:rPr>
          <w:rFonts w:ascii="Georgia" w:hAnsi="Georgia"/>
          <w:sz w:val="28"/>
          <w:szCs w:val="28"/>
          <w:lang w:val="fr-FR"/>
        </w:rPr>
      </w:pPr>
      <w:r w:rsidRPr="00B93C42">
        <w:rPr>
          <w:rFonts w:ascii="Georgia" w:hAnsi="Georgia"/>
          <w:sz w:val="28"/>
          <w:szCs w:val="28"/>
          <w:lang w:val="fr-FR"/>
        </w:rPr>
        <w:t>Profitant de leur troisième édition de « C</w:t>
      </w:r>
      <w:r w:rsidR="009D4201">
        <w:rPr>
          <w:rFonts w:ascii="Georgia" w:hAnsi="Georgia"/>
          <w:sz w:val="28"/>
          <w:szCs w:val="28"/>
          <w:lang w:val="fr-FR"/>
        </w:rPr>
        <w:t>afé Banque et Finances », l’ABE</w:t>
      </w:r>
      <w:r w:rsidRPr="00B93C42">
        <w:rPr>
          <w:rFonts w:ascii="Georgia" w:hAnsi="Georgia"/>
          <w:sz w:val="28"/>
          <w:szCs w:val="28"/>
          <w:lang w:val="fr-FR"/>
        </w:rPr>
        <w:t xml:space="preserve">F a tenu ce 19 juin à Donatus Conference Center une discussion sur le marché des capitaux. Ce secteur en pleine opérationnalisation présente plusieurs avantages pour une économie en quête de croissance. </w:t>
      </w:r>
    </w:p>
    <w:p w14:paraId="305DE76B" w14:textId="3A3A0538" w:rsidR="00057718" w:rsidRPr="00B93C42" w:rsidRDefault="00057718" w:rsidP="00B93C42">
      <w:pPr>
        <w:pStyle w:val="NormalWeb"/>
        <w:spacing w:line="360" w:lineRule="auto"/>
        <w:jc w:val="both"/>
        <w:rPr>
          <w:rFonts w:ascii="Georgia" w:hAnsi="Georgia"/>
          <w:sz w:val="28"/>
          <w:szCs w:val="28"/>
          <w:lang w:val="fr-FR"/>
        </w:rPr>
      </w:pPr>
      <w:r w:rsidRPr="00B93C42">
        <w:rPr>
          <w:rFonts w:ascii="Georgia" w:hAnsi="Georgia"/>
          <w:sz w:val="28"/>
          <w:szCs w:val="28"/>
          <w:lang w:val="fr-FR"/>
        </w:rPr>
        <w:t xml:space="preserve">D’après Pierre Damien Mpawenimana, directeur général de la Bourse du Burundi, ce marché permet la mobilisation des fonds structurants et sur le long terme, ce qui fait la différence pour les banques classiques : </w:t>
      </w:r>
      <w:r w:rsidRPr="00B93C42">
        <w:rPr>
          <w:rFonts w:ascii="Georgia" w:hAnsi="Georgia"/>
          <w:i/>
          <w:iCs/>
          <w:sz w:val="28"/>
          <w:szCs w:val="28"/>
          <w:lang w:val="fr-FR"/>
        </w:rPr>
        <w:t xml:space="preserve">« Quand les informations circulent suffisamment et que les investisseurs sont disponibles, les </w:t>
      </w:r>
      <w:r w:rsidR="009D4201">
        <w:rPr>
          <w:rFonts w:ascii="Georgia" w:hAnsi="Georgia"/>
          <w:i/>
          <w:iCs/>
          <w:sz w:val="28"/>
          <w:szCs w:val="28"/>
          <w:lang w:val="fr-FR"/>
        </w:rPr>
        <w:t xml:space="preserve">fonds sont disponibles aussi. </w:t>
      </w:r>
      <w:r w:rsidRPr="00B93C42">
        <w:rPr>
          <w:rFonts w:ascii="Georgia" w:hAnsi="Georgia"/>
          <w:i/>
          <w:iCs/>
          <w:sz w:val="28"/>
          <w:szCs w:val="28"/>
          <w:lang w:val="fr-FR"/>
        </w:rPr>
        <w:t>Ils attirent les entrepreneurs qui veulent lever ces fonds. »</w:t>
      </w:r>
    </w:p>
    <w:p w14:paraId="1D83CD30" w14:textId="77777777" w:rsidR="00057718" w:rsidRPr="00B93C42"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Ce professionnel souligne que cette fluidité compte pour un pays comme le Burundi qui a besoin de financer les domaines stratégiques (énergie de transition verte, agro-industrie et exportation, infrastructures stratégiques, TIC, santé et éducation), basés sur l’impact économique, l’emploi et l’innovation.</w:t>
      </w:r>
    </w:p>
    <w:p w14:paraId="646371B1" w14:textId="136BD29C" w:rsidR="00057718" w:rsidRPr="00B93C42"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 xml:space="preserve">Selon M. Mpawenimana, une croissance durable exige un marché des capitaux robuste : </w:t>
      </w:r>
      <w:r w:rsidRPr="00B93C42">
        <w:rPr>
          <w:rFonts w:ascii="Georgia" w:eastAsia="Times New Roman" w:hAnsi="Georgia" w:cs="Times New Roman"/>
          <w:i/>
          <w:iCs/>
          <w:sz w:val="28"/>
          <w:szCs w:val="28"/>
          <w:lang w:val="fr-FR"/>
        </w:rPr>
        <w:t xml:space="preserve">« Le financement ne peut dépendre uniquement de </w:t>
      </w:r>
      <w:r w:rsidR="009D4201">
        <w:rPr>
          <w:rFonts w:ascii="Georgia" w:eastAsia="Times New Roman" w:hAnsi="Georgia" w:cs="Times New Roman"/>
          <w:i/>
          <w:iCs/>
          <w:sz w:val="28"/>
          <w:szCs w:val="28"/>
          <w:lang w:val="fr-FR"/>
        </w:rPr>
        <w:lastRenderedPageBreak/>
        <w:t xml:space="preserve">l'endettement ou des dons </w:t>
      </w:r>
      <w:r w:rsidRPr="00B93C42">
        <w:rPr>
          <w:rFonts w:ascii="Georgia" w:eastAsia="Times New Roman" w:hAnsi="Georgia" w:cs="Times New Roman"/>
          <w:i/>
          <w:iCs/>
          <w:sz w:val="28"/>
          <w:szCs w:val="28"/>
          <w:lang w:val="fr-FR"/>
        </w:rPr>
        <w:t>extérieur</w:t>
      </w:r>
      <w:r w:rsidR="009D4201">
        <w:rPr>
          <w:rFonts w:ascii="Georgia" w:eastAsia="Times New Roman" w:hAnsi="Georgia" w:cs="Times New Roman"/>
          <w:i/>
          <w:iCs/>
          <w:sz w:val="28"/>
          <w:szCs w:val="28"/>
          <w:lang w:val="fr-FR"/>
        </w:rPr>
        <w:t xml:space="preserve">s. </w:t>
      </w:r>
      <w:r w:rsidRPr="00B93C42">
        <w:rPr>
          <w:rFonts w:ascii="Georgia" w:eastAsia="Times New Roman" w:hAnsi="Georgia" w:cs="Times New Roman"/>
          <w:i/>
          <w:iCs/>
          <w:sz w:val="28"/>
          <w:szCs w:val="28"/>
          <w:lang w:val="fr-FR"/>
        </w:rPr>
        <w:t>Il faut activer simultanément l'offre et la demande des titres sur le marché des capitaux. »</w:t>
      </w:r>
    </w:p>
    <w:p w14:paraId="196C3624" w14:textId="351087A9" w:rsidR="00266389" w:rsidRPr="00B93C42" w:rsidRDefault="00266389" w:rsidP="00B93C42">
      <w:pPr>
        <w:spacing w:after="240" w:line="360" w:lineRule="auto"/>
        <w:jc w:val="both"/>
        <w:rPr>
          <w:rFonts w:ascii="Georgia" w:hAnsi="Georgia"/>
          <w:b/>
          <w:sz w:val="28"/>
          <w:szCs w:val="28"/>
          <w:lang w:val="fr-FR"/>
        </w:rPr>
      </w:pPr>
      <w:r w:rsidRPr="00B93C42">
        <w:rPr>
          <w:rFonts w:ascii="Georgia" w:hAnsi="Georgia"/>
          <w:b/>
          <w:sz w:val="28"/>
          <w:szCs w:val="28"/>
          <w:lang w:val="fr-FR"/>
        </w:rPr>
        <w:t>Un marché en pleine opérationnalisation</w:t>
      </w:r>
    </w:p>
    <w:p w14:paraId="0F07BAA2" w14:textId="04224FF6"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Intermédiaires déjà agréés</w:t>
      </w:r>
    </w:p>
    <w:p w14:paraId="11CC161E" w14:textId="77777777" w:rsidR="00986EA8" w:rsidRPr="00B93C42" w:rsidRDefault="00986EA8" w:rsidP="00B93C42">
      <w:pPr>
        <w:spacing w:after="240" w:line="360" w:lineRule="auto"/>
        <w:jc w:val="both"/>
        <w:rPr>
          <w:rFonts w:ascii="Georgia" w:hAnsi="Georgia"/>
          <w:b/>
          <w:sz w:val="28"/>
          <w:szCs w:val="28"/>
          <w:lang w:val="fr-FR"/>
        </w:rPr>
      </w:pPr>
    </w:p>
    <w:tbl>
      <w:tblPr>
        <w:tblStyle w:val="Grilledutableau"/>
        <w:tblW w:w="0" w:type="auto"/>
        <w:tblLook w:val="04A0" w:firstRow="1" w:lastRow="0" w:firstColumn="1" w:lastColumn="0" w:noHBand="0" w:noVBand="1"/>
      </w:tblPr>
      <w:tblGrid>
        <w:gridCol w:w="3775"/>
        <w:gridCol w:w="4320"/>
      </w:tblGrid>
      <w:tr w:rsidR="00986EA8" w:rsidRPr="00B93C42" w14:paraId="50E7362F" w14:textId="77777777" w:rsidTr="00BC2656">
        <w:tc>
          <w:tcPr>
            <w:tcW w:w="3775" w:type="dxa"/>
          </w:tcPr>
          <w:p w14:paraId="4BFA651B"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 xml:space="preserve">Type d’intermédiaires </w:t>
            </w:r>
          </w:p>
        </w:tc>
        <w:tc>
          <w:tcPr>
            <w:tcW w:w="4320" w:type="dxa"/>
          </w:tcPr>
          <w:p w14:paraId="6005930D"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 xml:space="preserve">Sociétés </w:t>
            </w:r>
          </w:p>
        </w:tc>
      </w:tr>
      <w:tr w:rsidR="00986EA8" w:rsidRPr="00B93C14" w14:paraId="54D1C92D" w14:textId="77777777" w:rsidTr="00BC2656">
        <w:tc>
          <w:tcPr>
            <w:tcW w:w="3775" w:type="dxa"/>
          </w:tcPr>
          <w:p w14:paraId="51168875"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Bourse des valeurs</w:t>
            </w:r>
          </w:p>
        </w:tc>
        <w:tc>
          <w:tcPr>
            <w:tcW w:w="4320" w:type="dxa"/>
          </w:tcPr>
          <w:p w14:paraId="687DD31B"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BOURSE DU BURUNDI, Burundi Securities Exchange (BSE);</w:t>
            </w:r>
          </w:p>
          <w:p w14:paraId="3E18B483" w14:textId="77777777" w:rsidR="00986EA8" w:rsidRPr="00B93C42" w:rsidRDefault="00986EA8" w:rsidP="00B93C42">
            <w:pPr>
              <w:spacing w:line="360" w:lineRule="auto"/>
              <w:jc w:val="both"/>
              <w:rPr>
                <w:rFonts w:ascii="Georgia" w:hAnsi="Georgia"/>
                <w:sz w:val="28"/>
                <w:szCs w:val="28"/>
                <w:lang w:val="fr-FR"/>
              </w:rPr>
            </w:pPr>
          </w:p>
        </w:tc>
      </w:tr>
      <w:tr w:rsidR="00986EA8" w:rsidRPr="00B93C42" w14:paraId="70F57C86" w14:textId="77777777" w:rsidTr="00BC2656">
        <w:tc>
          <w:tcPr>
            <w:tcW w:w="3775" w:type="dxa"/>
          </w:tcPr>
          <w:p w14:paraId="0F1F970C"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Banques d'investissement</w:t>
            </w:r>
          </w:p>
        </w:tc>
        <w:tc>
          <w:tcPr>
            <w:tcW w:w="4320" w:type="dxa"/>
          </w:tcPr>
          <w:p w14:paraId="49F256B7" w14:textId="77777777" w:rsidR="00986EA8" w:rsidRPr="00B93C42" w:rsidRDefault="00986EA8" w:rsidP="00B93C42">
            <w:pPr>
              <w:spacing w:line="360" w:lineRule="auto"/>
              <w:jc w:val="both"/>
              <w:rPr>
                <w:rFonts w:ascii="Georgia" w:hAnsi="Georgia"/>
                <w:sz w:val="28"/>
                <w:szCs w:val="28"/>
              </w:rPr>
            </w:pPr>
            <w:r w:rsidRPr="00B93C42">
              <w:rPr>
                <w:rFonts w:ascii="Georgia" w:hAnsi="Georgia"/>
                <w:sz w:val="28"/>
                <w:szCs w:val="28"/>
              </w:rPr>
              <w:t>ORBIT INVESTMENT BANK, BANCOBU CAPITAL, GLOBAS S.A</w:t>
            </w:r>
          </w:p>
        </w:tc>
      </w:tr>
      <w:tr w:rsidR="00986EA8" w:rsidRPr="00B93C42" w14:paraId="2F77A90D" w14:textId="77777777" w:rsidTr="00BC2656">
        <w:tc>
          <w:tcPr>
            <w:tcW w:w="3775" w:type="dxa"/>
          </w:tcPr>
          <w:p w14:paraId="14B71CEA" w14:textId="77777777" w:rsidR="00986EA8" w:rsidRPr="00B93C42" w:rsidRDefault="00986EA8" w:rsidP="00B93C42">
            <w:pPr>
              <w:spacing w:line="360" w:lineRule="auto"/>
              <w:jc w:val="both"/>
              <w:rPr>
                <w:rFonts w:ascii="Georgia" w:hAnsi="Georgia"/>
                <w:sz w:val="28"/>
                <w:szCs w:val="28"/>
              </w:rPr>
            </w:pPr>
          </w:p>
          <w:p w14:paraId="4FDCF6C7"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Conseiller en investissement</w:t>
            </w:r>
          </w:p>
        </w:tc>
        <w:tc>
          <w:tcPr>
            <w:tcW w:w="4320" w:type="dxa"/>
          </w:tcPr>
          <w:p w14:paraId="6AF40BDA" w14:textId="77777777" w:rsidR="00986EA8" w:rsidRPr="00B93C42" w:rsidRDefault="00986EA8" w:rsidP="00B93C42">
            <w:pPr>
              <w:spacing w:line="360" w:lineRule="auto"/>
              <w:jc w:val="both"/>
              <w:rPr>
                <w:rFonts w:ascii="Georgia" w:hAnsi="Georgia"/>
                <w:sz w:val="28"/>
                <w:szCs w:val="28"/>
              </w:rPr>
            </w:pPr>
            <w:r w:rsidRPr="00B93C42">
              <w:rPr>
                <w:rFonts w:ascii="Georgia" w:hAnsi="Georgia"/>
                <w:sz w:val="28"/>
                <w:szCs w:val="28"/>
              </w:rPr>
              <w:t>SSTC (Strategic Studies and Tax Consultancy Group)</w:t>
            </w:r>
          </w:p>
        </w:tc>
      </w:tr>
      <w:tr w:rsidR="00986EA8" w:rsidRPr="00B93C42" w14:paraId="2D9E05D6" w14:textId="77777777" w:rsidTr="00BC2656">
        <w:tc>
          <w:tcPr>
            <w:tcW w:w="3775" w:type="dxa"/>
          </w:tcPr>
          <w:p w14:paraId="1C9D1F22"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Gestionnaire d'investissement/de fonds</w:t>
            </w:r>
          </w:p>
        </w:tc>
        <w:tc>
          <w:tcPr>
            <w:tcW w:w="4320" w:type="dxa"/>
          </w:tcPr>
          <w:p w14:paraId="52C012CC" w14:textId="77777777" w:rsidR="00986EA8" w:rsidRPr="00B93C42" w:rsidRDefault="00986EA8" w:rsidP="00B93C42">
            <w:pPr>
              <w:spacing w:line="360" w:lineRule="auto"/>
              <w:jc w:val="both"/>
              <w:rPr>
                <w:rFonts w:ascii="Georgia" w:hAnsi="Georgia"/>
                <w:sz w:val="28"/>
                <w:szCs w:val="28"/>
              </w:rPr>
            </w:pPr>
            <w:r w:rsidRPr="00B93C42">
              <w:rPr>
                <w:rFonts w:ascii="Georgia" w:hAnsi="Georgia"/>
                <w:sz w:val="28"/>
                <w:szCs w:val="28"/>
              </w:rPr>
              <w:t>AFRICA DREAM ASSET S.A;</w:t>
            </w:r>
          </w:p>
        </w:tc>
      </w:tr>
      <w:tr w:rsidR="00986EA8" w:rsidRPr="00B93C42" w14:paraId="78E44C54" w14:textId="77777777" w:rsidTr="00BC2656">
        <w:tc>
          <w:tcPr>
            <w:tcW w:w="3775" w:type="dxa"/>
          </w:tcPr>
          <w:p w14:paraId="2252A189"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 xml:space="preserve">Registered </w:t>
            </w:r>
            <w:proofErr w:type="spellStart"/>
            <w:r w:rsidRPr="00B93C42">
              <w:rPr>
                <w:rFonts w:ascii="Georgia" w:hAnsi="Georgia"/>
                <w:bCs/>
                <w:sz w:val="28"/>
                <w:szCs w:val="28"/>
                <w:lang w:val="fr-FR"/>
              </w:rPr>
              <w:t>Fund</w:t>
            </w:r>
            <w:proofErr w:type="spellEnd"/>
          </w:p>
        </w:tc>
        <w:tc>
          <w:tcPr>
            <w:tcW w:w="4320" w:type="dxa"/>
          </w:tcPr>
          <w:p w14:paraId="570BC07C" w14:textId="77777777" w:rsidR="00986EA8" w:rsidRPr="00B93C42" w:rsidRDefault="00986EA8" w:rsidP="00B93C42">
            <w:pPr>
              <w:spacing w:line="360" w:lineRule="auto"/>
              <w:jc w:val="both"/>
              <w:rPr>
                <w:rFonts w:ascii="Georgia" w:hAnsi="Georgia"/>
                <w:sz w:val="28"/>
                <w:szCs w:val="28"/>
              </w:rPr>
            </w:pPr>
            <w:r w:rsidRPr="00B93C42">
              <w:rPr>
                <w:rFonts w:ascii="Georgia" w:hAnsi="Georgia"/>
                <w:sz w:val="28"/>
                <w:szCs w:val="28"/>
              </w:rPr>
              <w:t>1 AIF (One Africa Investment Fund)</w:t>
            </w:r>
          </w:p>
        </w:tc>
      </w:tr>
      <w:tr w:rsidR="00986EA8" w:rsidRPr="00B93C42" w14:paraId="50867D97" w14:textId="77777777" w:rsidTr="00BC2656">
        <w:tc>
          <w:tcPr>
            <w:tcW w:w="3775" w:type="dxa"/>
          </w:tcPr>
          <w:p w14:paraId="6951394F"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 xml:space="preserve">Dépositaire </w:t>
            </w:r>
          </w:p>
        </w:tc>
        <w:tc>
          <w:tcPr>
            <w:tcW w:w="4320" w:type="dxa"/>
          </w:tcPr>
          <w:p w14:paraId="6C108335"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 xml:space="preserve">BANCOBU </w:t>
            </w:r>
          </w:p>
        </w:tc>
      </w:tr>
      <w:tr w:rsidR="00986EA8" w:rsidRPr="00B93C42" w14:paraId="762BB443" w14:textId="77777777" w:rsidTr="00BC2656">
        <w:tc>
          <w:tcPr>
            <w:tcW w:w="3775" w:type="dxa"/>
          </w:tcPr>
          <w:p w14:paraId="528CF514"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bCs/>
                <w:sz w:val="28"/>
                <w:szCs w:val="28"/>
                <w:lang w:val="fr-FR"/>
              </w:rPr>
              <w:t>Registraire</w:t>
            </w:r>
          </w:p>
        </w:tc>
        <w:tc>
          <w:tcPr>
            <w:tcW w:w="4320" w:type="dxa"/>
          </w:tcPr>
          <w:p w14:paraId="04A2D756" w14:textId="77777777" w:rsidR="00986EA8" w:rsidRPr="00B93C42" w:rsidRDefault="00986EA8" w:rsidP="00B93C42">
            <w:pPr>
              <w:spacing w:line="360" w:lineRule="auto"/>
              <w:jc w:val="both"/>
              <w:rPr>
                <w:rFonts w:ascii="Georgia" w:hAnsi="Georgia"/>
                <w:sz w:val="28"/>
                <w:szCs w:val="28"/>
                <w:lang w:val="fr-FR"/>
              </w:rPr>
            </w:pPr>
            <w:r w:rsidRPr="00B93C42">
              <w:rPr>
                <w:rFonts w:ascii="Georgia" w:hAnsi="Georgia"/>
                <w:sz w:val="28"/>
                <w:szCs w:val="28"/>
                <w:lang w:val="fr-FR"/>
              </w:rPr>
              <w:t xml:space="preserve">BANCOBU </w:t>
            </w:r>
          </w:p>
        </w:tc>
      </w:tr>
    </w:tbl>
    <w:p w14:paraId="4D8AB664" w14:textId="383C6A7F" w:rsidR="00057718" w:rsidRPr="00B93C42" w:rsidRDefault="00057718" w:rsidP="00B93C42">
      <w:pPr>
        <w:pStyle w:val="NormalWeb"/>
        <w:spacing w:line="360" w:lineRule="auto"/>
        <w:jc w:val="both"/>
        <w:rPr>
          <w:rFonts w:ascii="Georgia" w:hAnsi="Georgia"/>
          <w:sz w:val="28"/>
          <w:szCs w:val="28"/>
          <w:lang w:val="fr-FR"/>
        </w:rPr>
      </w:pPr>
      <w:r w:rsidRPr="00B93C42">
        <w:rPr>
          <w:rFonts w:ascii="Georgia" w:hAnsi="Georgia"/>
          <w:sz w:val="28"/>
          <w:szCs w:val="28"/>
          <w:lang w:val="fr-FR"/>
        </w:rPr>
        <w:t>Dans cette rencontre, Gildas Gasore, directeur de la Recherche et du Développement au sein de l’Autorité de Régulation du Marché des Capitaux (ARMC) a mis en lumière l’état embryonnaire du marché burundais des capitaux</w:t>
      </w:r>
      <w:r w:rsidR="009D4201">
        <w:rPr>
          <w:rFonts w:ascii="Georgia" w:hAnsi="Georgia"/>
          <w:sz w:val="28"/>
          <w:szCs w:val="28"/>
          <w:lang w:val="fr-FR"/>
        </w:rPr>
        <w:t> :</w:t>
      </w:r>
      <w:r w:rsidRPr="00B93C42">
        <w:rPr>
          <w:rFonts w:ascii="Georgia" w:hAnsi="Georgia"/>
          <w:sz w:val="28"/>
          <w:szCs w:val="28"/>
          <w:lang w:val="fr-FR"/>
        </w:rPr>
        <w:t> </w:t>
      </w:r>
      <w:r w:rsidRPr="00B93C42">
        <w:rPr>
          <w:rStyle w:val="Accentuation"/>
          <w:rFonts w:ascii="Georgia" w:eastAsiaTheme="majorEastAsia" w:hAnsi="Georgia"/>
          <w:sz w:val="28"/>
          <w:szCs w:val="28"/>
          <w:lang w:val="fr-FR"/>
        </w:rPr>
        <w:t>« Le marché financier burundais dispose actuellement d'une gamme limitée d'instruments financiers, dominée par les titres émis par le gouvernement ».</w:t>
      </w:r>
    </w:p>
    <w:p w14:paraId="5D83FDFC" w14:textId="00CE512C" w:rsidR="00057718" w:rsidRPr="00B93C42" w:rsidRDefault="00057718" w:rsidP="00B93C42">
      <w:pPr>
        <w:pStyle w:val="NormalWeb"/>
        <w:spacing w:line="360" w:lineRule="auto"/>
        <w:jc w:val="both"/>
        <w:rPr>
          <w:rFonts w:ascii="Georgia" w:hAnsi="Georgia"/>
          <w:sz w:val="28"/>
          <w:szCs w:val="28"/>
          <w:lang w:val="fr-FR"/>
        </w:rPr>
      </w:pPr>
      <w:r w:rsidRPr="00B93C42">
        <w:rPr>
          <w:rFonts w:ascii="Georgia" w:hAnsi="Georgia"/>
          <w:sz w:val="28"/>
          <w:szCs w:val="28"/>
          <w:lang w:val="fr-FR"/>
        </w:rPr>
        <w:lastRenderedPageBreak/>
        <w:t>Tout en soulignant la nécessite de diversifier les produits, Gildas souligne que l’absence des titres émis par le secteur privé constitue une entrave au financement et réduit les options d’investissement pour les détenteurs des capitaux.</w:t>
      </w:r>
    </w:p>
    <w:p w14:paraId="2BB383FD" w14:textId="77777777" w:rsidR="00057718" w:rsidRPr="00B93C42" w:rsidRDefault="00057718" w:rsidP="00B93C42">
      <w:pPr>
        <w:pStyle w:val="NormalWeb"/>
        <w:spacing w:line="360" w:lineRule="auto"/>
        <w:jc w:val="both"/>
        <w:rPr>
          <w:rFonts w:ascii="Georgia" w:hAnsi="Georgia"/>
          <w:sz w:val="28"/>
          <w:szCs w:val="28"/>
          <w:lang w:val="fr-FR"/>
        </w:rPr>
      </w:pPr>
      <w:r w:rsidRPr="00B93C42">
        <w:rPr>
          <w:rFonts w:ascii="Georgia" w:hAnsi="Georgia"/>
          <w:sz w:val="28"/>
          <w:szCs w:val="28"/>
          <w:lang w:val="fr-FR"/>
        </w:rPr>
        <w:t>Encours des titres du trésor par catégorie d’investisseurs à fin 2024</w:t>
      </w:r>
    </w:p>
    <w:p w14:paraId="446BEDFD" w14:textId="20DB59C7" w:rsidR="00F12D5F" w:rsidRPr="00B93C42" w:rsidRDefault="00057718" w:rsidP="00B93C42">
      <w:pPr>
        <w:spacing w:after="240" w:line="360" w:lineRule="auto"/>
        <w:jc w:val="both"/>
        <w:rPr>
          <w:rFonts w:ascii="Georgia" w:hAnsi="Georgia"/>
          <w:b/>
          <w:sz w:val="28"/>
          <w:szCs w:val="28"/>
          <w:lang w:val="fr-FR"/>
        </w:rPr>
      </w:pPr>
      <w:r w:rsidRPr="00B93C42">
        <w:rPr>
          <w:rFonts w:ascii="Georgia" w:hAnsi="Georgia"/>
          <w:b/>
          <w:sz w:val="28"/>
          <w:szCs w:val="28"/>
          <w:lang w:val="fr-FR"/>
        </w:rPr>
        <w:t xml:space="preserve"> </w:t>
      </w:r>
      <w:r w:rsidR="00986EA8" w:rsidRPr="00B93C42">
        <w:rPr>
          <w:rFonts w:ascii="Georgia" w:hAnsi="Georgia"/>
          <w:b/>
          <w:noProof/>
          <w:sz w:val="28"/>
          <w:szCs w:val="28"/>
        </w:rPr>
        <w:drawing>
          <wp:inline distT="0" distB="0" distL="0" distR="0" wp14:anchorId="64465099" wp14:editId="2C2191EA">
            <wp:extent cx="3021496" cy="2555240"/>
            <wp:effectExtent l="0" t="0" r="7620" b="0"/>
            <wp:docPr id="15" name="Image 14">
              <a:extLst xmlns:a="http://schemas.openxmlformats.org/drawingml/2006/main">
                <a:ext uri="{FF2B5EF4-FFF2-40B4-BE49-F238E27FC236}">
                  <a16:creationId xmlns:a16="http://schemas.microsoft.com/office/drawing/2014/main" id="{29DB1C0E-E87A-F148-BF47-DEE146EC1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29DB1C0E-E87A-F148-BF47-DEE146EC1FFC}"/>
                        </a:ext>
                      </a:extLst>
                    </pic:cNvPr>
                    <pic:cNvPicPr>
                      <a:picLocks noChangeAspect="1"/>
                    </pic:cNvPicPr>
                  </pic:nvPicPr>
                  <pic:blipFill>
                    <a:blip r:embed="rId8"/>
                    <a:stretch>
                      <a:fillRect/>
                    </a:stretch>
                  </pic:blipFill>
                  <pic:spPr>
                    <a:xfrm>
                      <a:off x="0" y="0"/>
                      <a:ext cx="3028324" cy="2561015"/>
                    </a:xfrm>
                    <a:prstGeom prst="rect">
                      <a:avLst/>
                    </a:prstGeom>
                  </pic:spPr>
                </pic:pic>
              </a:graphicData>
            </a:graphic>
          </wp:inline>
        </w:drawing>
      </w:r>
    </w:p>
    <w:p w14:paraId="22013AB5" w14:textId="77777777" w:rsidR="00986EA8" w:rsidRPr="00B93C42" w:rsidRDefault="00986EA8" w:rsidP="00B93C42">
      <w:pPr>
        <w:spacing w:after="240" w:line="360" w:lineRule="auto"/>
        <w:jc w:val="both"/>
        <w:rPr>
          <w:rFonts w:ascii="Georgia" w:hAnsi="Georgia"/>
          <w:sz w:val="28"/>
          <w:szCs w:val="28"/>
          <w:lang w:val="fr-FR"/>
        </w:rPr>
      </w:pPr>
    </w:p>
    <w:p w14:paraId="41536853" w14:textId="77777777" w:rsidR="009D4201" w:rsidRDefault="00A35624"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hAnsi="Georgia"/>
          <w:b/>
          <w:sz w:val="28"/>
          <w:szCs w:val="28"/>
          <w:lang w:val="fr-FR"/>
        </w:rPr>
        <w:t>Un d</w:t>
      </w:r>
      <w:r w:rsidR="00057718" w:rsidRPr="00B93C42">
        <w:rPr>
          <w:rFonts w:ascii="Georgia" w:eastAsia="Times New Roman" w:hAnsi="Georgia" w:cs="Times New Roman"/>
          <w:b/>
          <w:sz w:val="28"/>
          <w:szCs w:val="28"/>
          <w:lang w:val="fr-FR"/>
        </w:rPr>
        <w:t>éfi de transparence et de gouvernance</w:t>
      </w:r>
    </w:p>
    <w:p w14:paraId="6B79E28B" w14:textId="190E30BD" w:rsidR="00DC317E" w:rsidRDefault="00DC317E" w:rsidP="00B93C42">
      <w:pPr>
        <w:spacing w:before="100" w:beforeAutospacing="1" w:after="100" w:afterAutospacing="1" w:line="360" w:lineRule="auto"/>
        <w:jc w:val="both"/>
        <w:rPr>
          <w:rFonts w:ascii="Georgia" w:eastAsia="Times New Roman" w:hAnsi="Georgia" w:cs="Times New Roman"/>
          <w:sz w:val="28"/>
          <w:szCs w:val="28"/>
          <w:lang w:val="fr-FR"/>
        </w:rPr>
      </w:pPr>
      <w:r>
        <w:rPr>
          <w:rFonts w:ascii="Georgia" w:eastAsia="Times New Roman" w:hAnsi="Georgia" w:cs="Times New Roman"/>
          <w:sz w:val="28"/>
          <w:szCs w:val="28"/>
          <w:lang w:val="fr-FR"/>
        </w:rPr>
        <w:t>Pour Dr Eric Ngendahayo, DG d’</w:t>
      </w:r>
      <w:r w:rsidR="00057718" w:rsidRPr="00B93C42">
        <w:rPr>
          <w:rFonts w:ascii="Georgia" w:eastAsia="Times New Roman" w:hAnsi="Georgia" w:cs="Times New Roman"/>
          <w:sz w:val="28"/>
          <w:szCs w:val="28"/>
          <w:lang w:val="fr-FR"/>
        </w:rPr>
        <w:t xml:space="preserve">ORBIT Investment Bank au Burundi, un marché des capitaux fonctionne sur la base de la confiance. Pour que cette confiance soit une réalité, l’expert préconise la transparence financière et la gouvernance au sein des entreprises cotées : </w:t>
      </w:r>
      <w:r w:rsidR="00057718" w:rsidRPr="00B93C42">
        <w:rPr>
          <w:rFonts w:ascii="Georgia" w:eastAsia="Times New Roman" w:hAnsi="Georgia" w:cs="Times New Roman"/>
          <w:i/>
          <w:sz w:val="28"/>
          <w:szCs w:val="28"/>
          <w:lang w:val="fr-FR"/>
        </w:rPr>
        <w:t>« La transparence financière est l'obligation pour une entreprise de communiquer de manière régulière, claire, complète et vérifiable toutes les informations pertinentes sur sa situation financière, ses résultat</w:t>
      </w:r>
      <w:r>
        <w:rPr>
          <w:rFonts w:ascii="Georgia" w:eastAsia="Times New Roman" w:hAnsi="Georgia" w:cs="Times New Roman"/>
          <w:i/>
          <w:sz w:val="28"/>
          <w:szCs w:val="28"/>
          <w:lang w:val="fr-FR"/>
        </w:rPr>
        <w:t>s, ses risques et sa stratégie.</w:t>
      </w:r>
      <w:r w:rsidR="00057718" w:rsidRPr="00B93C42">
        <w:rPr>
          <w:rFonts w:ascii="Georgia" w:eastAsia="Times New Roman" w:hAnsi="Georgia" w:cs="Times New Roman"/>
          <w:i/>
          <w:sz w:val="28"/>
          <w:szCs w:val="28"/>
          <w:lang w:val="fr-FR"/>
        </w:rPr>
        <w:t>»</w:t>
      </w:r>
      <w:r w:rsidR="00057718" w:rsidRPr="00B93C42">
        <w:rPr>
          <w:rFonts w:ascii="Georgia" w:eastAsia="Times New Roman" w:hAnsi="Georgia" w:cs="Times New Roman"/>
          <w:i/>
          <w:sz w:val="28"/>
          <w:szCs w:val="28"/>
          <w:lang w:val="fr-FR"/>
        </w:rPr>
        <w:br/>
      </w:r>
      <w:r w:rsidR="00057718" w:rsidRPr="00B93C42">
        <w:rPr>
          <w:rFonts w:ascii="Georgia" w:eastAsia="Times New Roman" w:hAnsi="Georgia" w:cs="Times New Roman"/>
          <w:i/>
          <w:sz w:val="28"/>
          <w:szCs w:val="28"/>
          <w:lang w:val="fr-FR"/>
        </w:rPr>
        <w:br/>
      </w:r>
      <w:r w:rsidR="00057718" w:rsidRPr="00B93C42">
        <w:rPr>
          <w:rFonts w:ascii="Georgia" w:eastAsia="Times New Roman" w:hAnsi="Georgia" w:cs="Times New Roman"/>
          <w:sz w:val="28"/>
          <w:szCs w:val="28"/>
          <w:lang w:val="fr-FR"/>
        </w:rPr>
        <w:t xml:space="preserve">À ce sujet, Éric </w:t>
      </w:r>
      <w:r>
        <w:rPr>
          <w:rFonts w:ascii="Georgia" w:eastAsia="Times New Roman" w:hAnsi="Georgia" w:cs="Times New Roman"/>
          <w:sz w:val="28"/>
          <w:szCs w:val="28"/>
          <w:lang w:val="fr-FR"/>
        </w:rPr>
        <w:t xml:space="preserve">Ngendahayo </w:t>
      </w:r>
      <w:r w:rsidR="00057718" w:rsidRPr="00B93C42">
        <w:rPr>
          <w:rFonts w:ascii="Georgia" w:eastAsia="Times New Roman" w:hAnsi="Georgia" w:cs="Times New Roman"/>
          <w:sz w:val="28"/>
          <w:szCs w:val="28"/>
          <w:lang w:val="fr-FR"/>
        </w:rPr>
        <w:t>fait remarquer l’importance d’une presse spécialisée sur les questions économiques et financières.</w:t>
      </w:r>
      <w:r>
        <w:rPr>
          <w:rFonts w:ascii="Georgia" w:eastAsia="Times New Roman" w:hAnsi="Georgia" w:cs="Times New Roman"/>
          <w:sz w:val="28"/>
          <w:szCs w:val="28"/>
          <w:lang w:val="fr-FR"/>
        </w:rPr>
        <w:t xml:space="preserve"> </w:t>
      </w:r>
      <w:r w:rsidR="00057718" w:rsidRPr="00B93C42">
        <w:rPr>
          <w:rFonts w:ascii="Georgia" w:eastAsia="Times New Roman" w:hAnsi="Georgia" w:cs="Times New Roman"/>
          <w:sz w:val="28"/>
          <w:szCs w:val="28"/>
          <w:lang w:val="fr-FR"/>
        </w:rPr>
        <w:t xml:space="preserve">Quant à la </w:t>
      </w:r>
      <w:r w:rsidR="00057718" w:rsidRPr="00B93C42">
        <w:rPr>
          <w:rFonts w:ascii="Georgia" w:eastAsia="Times New Roman" w:hAnsi="Georgia" w:cs="Times New Roman"/>
          <w:sz w:val="28"/>
          <w:szCs w:val="28"/>
          <w:lang w:val="fr-FR"/>
        </w:rPr>
        <w:lastRenderedPageBreak/>
        <w:t>gouvernance au sein des entreprises, elle se mesure par un conseil d’administration actif et indépendant, la clarification des rôles entre la direction et le contrôle ou le contrôle interne et de gestion des risques. En outre, les entreprises devraient respecter les droits des actionnaires minoritaires.</w:t>
      </w:r>
    </w:p>
    <w:p w14:paraId="24721586" w14:textId="77777777"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b/>
          <w:sz w:val="28"/>
          <w:szCs w:val="28"/>
          <w:lang w:val="fr-FR"/>
        </w:rPr>
        <w:t>Besoin du professionnalisme</w:t>
      </w:r>
      <w:r w:rsidR="00DC317E">
        <w:rPr>
          <w:rFonts w:ascii="Georgia" w:eastAsia="Times New Roman" w:hAnsi="Georgia" w:cs="Times New Roman"/>
          <w:sz w:val="28"/>
          <w:szCs w:val="28"/>
          <w:lang w:val="fr-FR"/>
        </w:rPr>
        <w:t> </w:t>
      </w:r>
    </w:p>
    <w:p w14:paraId="7F8C361C" w14:textId="77777777" w:rsidR="00DC317E" w:rsidRDefault="00057718" w:rsidP="00B93C42">
      <w:pPr>
        <w:spacing w:before="100" w:beforeAutospacing="1" w:after="100" w:afterAutospacing="1" w:line="360" w:lineRule="auto"/>
        <w:jc w:val="both"/>
        <w:rPr>
          <w:rFonts w:ascii="Georgia" w:eastAsia="Times New Roman" w:hAnsi="Georgia" w:cs="Times New Roman"/>
          <w:i/>
          <w:sz w:val="28"/>
          <w:szCs w:val="28"/>
          <w:lang w:val="fr-FR"/>
        </w:rPr>
      </w:pPr>
      <w:r w:rsidRPr="00B93C42">
        <w:rPr>
          <w:rFonts w:ascii="Georgia" w:eastAsia="Times New Roman" w:hAnsi="Georgia" w:cs="Times New Roman"/>
          <w:sz w:val="28"/>
          <w:szCs w:val="28"/>
          <w:lang w:val="fr-FR"/>
        </w:rPr>
        <w:t xml:space="preserve">Au moment où il fait savoir que 80 % des entreprises hors du secteur bancaire sont à caractère familial, M. Ngendahayo les appelle au professionnalisme : </w:t>
      </w:r>
      <w:r w:rsidRPr="00B93C42">
        <w:rPr>
          <w:rFonts w:ascii="Georgia" w:eastAsia="Times New Roman" w:hAnsi="Georgia" w:cs="Times New Roman"/>
          <w:i/>
          <w:sz w:val="28"/>
          <w:szCs w:val="28"/>
          <w:lang w:val="fr-FR"/>
        </w:rPr>
        <w:t>« Ce n'est pas parce que c'est une entreprise familiale que l'actionnariat est familial. La gouvernance doit être professionnelle, les administrateurs doivent être des personn</w:t>
      </w:r>
      <w:r w:rsidR="00DC317E">
        <w:rPr>
          <w:rFonts w:ascii="Georgia" w:eastAsia="Times New Roman" w:hAnsi="Georgia" w:cs="Times New Roman"/>
          <w:i/>
          <w:sz w:val="28"/>
          <w:szCs w:val="28"/>
          <w:lang w:val="fr-FR"/>
        </w:rPr>
        <w:t>es compétentes et qualifiées. »</w:t>
      </w:r>
    </w:p>
    <w:p w14:paraId="7A02F1B3" w14:textId="50B5369F"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Une autre possibilité qu’Éric</w:t>
      </w:r>
      <w:r w:rsidR="00DC317E">
        <w:rPr>
          <w:rFonts w:ascii="Georgia" w:eastAsia="Times New Roman" w:hAnsi="Georgia" w:cs="Times New Roman"/>
          <w:sz w:val="28"/>
          <w:szCs w:val="28"/>
          <w:lang w:val="fr-FR"/>
        </w:rPr>
        <w:t xml:space="preserve"> Ngendahayo</w:t>
      </w:r>
      <w:r w:rsidRPr="00B93C42">
        <w:rPr>
          <w:rFonts w:ascii="Georgia" w:eastAsia="Times New Roman" w:hAnsi="Georgia" w:cs="Times New Roman"/>
          <w:sz w:val="28"/>
          <w:szCs w:val="28"/>
          <w:lang w:val="fr-FR"/>
        </w:rPr>
        <w:t xml:space="preserve"> préconise à ces entreprises, c'est l'introduction partielle en bourse. Cela consiste par exemple à introduire 25 % de son capital à la bourse et à garder pour soi les 75 % restants, tout en restant sujet aux obligations de transparence et de gouvernance. </w:t>
      </w:r>
      <w:r w:rsidRPr="00B93C42">
        <w:rPr>
          <w:rFonts w:ascii="Georgia" w:eastAsia="Times New Roman" w:hAnsi="Georgia" w:cs="Times New Roman"/>
          <w:i/>
          <w:sz w:val="28"/>
          <w:szCs w:val="28"/>
          <w:lang w:val="fr-FR"/>
        </w:rPr>
        <w:t>« Et par conséquent, le marché des capitaux permettra à ces entreprises d'avoir accès à des financements importants à l'instant et de les préparer à la transmission intergénérationnelle. »</w:t>
      </w:r>
    </w:p>
    <w:p w14:paraId="37529692" w14:textId="6BB720FD" w:rsidR="00DC317E" w:rsidRDefault="00057718" w:rsidP="00B93C42">
      <w:pPr>
        <w:spacing w:before="100" w:beforeAutospacing="1" w:after="100" w:afterAutospacing="1" w:line="360" w:lineRule="auto"/>
        <w:jc w:val="both"/>
        <w:rPr>
          <w:rFonts w:ascii="Georgia" w:eastAsia="Times New Roman" w:hAnsi="Georgia" w:cs="Times New Roman"/>
          <w:i/>
          <w:sz w:val="28"/>
          <w:szCs w:val="28"/>
          <w:lang w:val="fr-FR"/>
        </w:rPr>
      </w:pPr>
      <w:r w:rsidRPr="00B93C42">
        <w:rPr>
          <w:rFonts w:ascii="Georgia" w:eastAsia="Times New Roman" w:hAnsi="Georgia" w:cs="Times New Roman"/>
          <w:sz w:val="28"/>
          <w:szCs w:val="28"/>
          <w:lang w:val="fr-FR"/>
        </w:rPr>
        <w:t xml:space="preserve">Ainsi donc Eric </w:t>
      </w:r>
      <w:r w:rsidR="00DC317E">
        <w:rPr>
          <w:rFonts w:ascii="Georgia" w:eastAsia="Times New Roman" w:hAnsi="Georgia" w:cs="Times New Roman"/>
          <w:sz w:val="28"/>
          <w:szCs w:val="28"/>
          <w:lang w:val="fr-FR"/>
        </w:rPr>
        <w:t xml:space="preserve">Ngendahayo </w:t>
      </w:r>
      <w:r w:rsidRPr="00B93C42">
        <w:rPr>
          <w:rFonts w:ascii="Georgia" w:eastAsia="Times New Roman" w:hAnsi="Georgia" w:cs="Times New Roman"/>
          <w:sz w:val="28"/>
          <w:szCs w:val="28"/>
          <w:lang w:val="fr-FR"/>
        </w:rPr>
        <w:t>appelle ce</w:t>
      </w:r>
      <w:r w:rsidR="00DC317E">
        <w:rPr>
          <w:rFonts w:ascii="Georgia" w:eastAsia="Times New Roman" w:hAnsi="Georgia" w:cs="Times New Roman"/>
          <w:sz w:val="28"/>
          <w:szCs w:val="28"/>
          <w:lang w:val="fr-FR"/>
        </w:rPr>
        <w:t xml:space="preserve">s entreprises à formaliser leur </w:t>
      </w:r>
      <w:r w:rsidRPr="00B93C42">
        <w:rPr>
          <w:rFonts w:ascii="Georgia" w:eastAsia="Times New Roman" w:hAnsi="Georgia" w:cs="Times New Roman"/>
          <w:sz w:val="28"/>
          <w:szCs w:val="28"/>
          <w:lang w:val="fr-FR"/>
        </w:rPr>
        <w:t>gouvernance : </w:t>
      </w:r>
      <w:r w:rsidRPr="00B93C42">
        <w:rPr>
          <w:rFonts w:ascii="Georgia" w:eastAsia="Times New Roman" w:hAnsi="Georgia" w:cs="Times New Roman"/>
          <w:i/>
          <w:sz w:val="28"/>
          <w:szCs w:val="28"/>
          <w:lang w:val="fr-FR"/>
        </w:rPr>
        <w:t>« Elles doivent</w:t>
      </w:r>
      <w:r w:rsidR="00DC317E">
        <w:rPr>
          <w:rFonts w:ascii="Georgia" w:eastAsia="Times New Roman" w:hAnsi="Georgia" w:cs="Times New Roman"/>
          <w:i/>
          <w:sz w:val="28"/>
          <w:szCs w:val="28"/>
          <w:lang w:val="fr-FR"/>
        </w:rPr>
        <w:t xml:space="preserve"> s'ouvrir progressivement à des </w:t>
      </w:r>
      <w:r w:rsidRPr="00B93C42">
        <w:rPr>
          <w:rFonts w:ascii="Georgia" w:eastAsia="Times New Roman" w:hAnsi="Georgia" w:cs="Times New Roman"/>
          <w:i/>
          <w:sz w:val="28"/>
          <w:szCs w:val="28"/>
          <w:lang w:val="fr-FR"/>
        </w:rPr>
        <w:t>financements alternatifs et se faire auditer par des cabinets reconnus et adopter une culture de transparence e</w:t>
      </w:r>
      <w:r w:rsidR="00DC317E">
        <w:rPr>
          <w:rFonts w:ascii="Georgia" w:eastAsia="Times New Roman" w:hAnsi="Georgia" w:cs="Times New Roman"/>
          <w:i/>
          <w:sz w:val="28"/>
          <w:szCs w:val="28"/>
          <w:lang w:val="fr-FR"/>
        </w:rPr>
        <w:t>t de communication proactive. »</w:t>
      </w:r>
    </w:p>
    <w:p w14:paraId="4C087A83" w14:textId="77777777"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 xml:space="preserve">Par ailleurs, le DG d’ORBIT n’a pas détourné son regard critique sur l’état des entreprises publiques du Burundi : </w:t>
      </w:r>
      <w:r w:rsidRPr="00B93C42">
        <w:rPr>
          <w:rFonts w:ascii="Georgia" w:eastAsia="Times New Roman" w:hAnsi="Georgia" w:cs="Times New Roman"/>
          <w:i/>
          <w:sz w:val="28"/>
          <w:szCs w:val="28"/>
          <w:lang w:val="fr-FR"/>
        </w:rPr>
        <w:t>« Elles souffr</w:t>
      </w:r>
      <w:r w:rsidR="00DC317E">
        <w:rPr>
          <w:rFonts w:ascii="Georgia" w:eastAsia="Times New Roman" w:hAnsi="Georgia" w:cs="Times New Roman"/>
          <w:i/>
          <w:sz w:val="28"/>
          <w:szCs w:val="28"/>
          <w:lang w:val="fr-FR"/>
        </w:rPr>
        <w:t>ent de trois principaux risques</w:t>
      </w:r>
      <w:r w:rsidRPr="00B93C42">
        <w:rPr>
          <w:rFonts w:ascii="Georgia" w:eastAsia="Times New Roman" w:hAnsi="Georgia" w:cs="Times New Roman"/>
          <w:i/>
          <w:sz w:val="28"/>
          <w:szCs w:val="28"/>
          <w:lang w:val="fr-FR"/>
        </w:rPr>
        <w:t xml:space="preserve"> à savoir la sous-capacitation chronique, un déficit de </w:t>
      </w:r>
      <w:r w:rsidRPr="00B93C42">
        <w:rPr>
          <w:rFonts w:ascii="Georgia" w:eastAsia="Times New Roman" w:hAnsi="Georgia" w:cs="Times New Roman"/>
          <w:i/>
          <w:sz w:val="28"/>
          <w:szCs w:val="28"/>
          <w:lang w:val="fr-FR"/>
        </w:rPr>
        <w:lastRenderedPageBreak/>
        <w:t>gouvernance efficace ainsi qu’une faible rentabilité ou une dépendance à</w:t>
      </w:r>
      <w:r w:rsidR="00DC317E">
        <w:rPr>
          <w:rFonts w:ascii="Georgia" w:eastAsia="Times New Roman" w:hAnsi="Georgia" w:cs="Times New Roman"/>
          <w:i/>
          <w:sz w:val="28"/>
          <w:szCs w:val="28"/>
          <w:lang w:val="fr-FR"/>
        </w:rPr>
        <w:t xml:space="preserve"> </w:t>
      </w:r>
      <w:r w:rsidRPr="00B93C42">
        <w:rPr>
          <w:rFonts w:ascii="Georgia" w:eastAsia="Times New Roman" w:hAnsi="Georgia" w:cs="Times New Roman"/>
          <w:i/>
          <w:sz w:val="28"/>
          <w:szCs w:val="28"/>
          <w:lang w:val="fr-FR"/>
        </w:rPr>
        <w:t>la subvention publique ».</w:t>
      </w:r>
    </w:p>
    <w:p w14:paraId="228B8B1A" w14:textId="77777777"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Par contre, fait-il savoir, le marché des capitaux constitue une voie de sortie pour ces problèmes, puisqu’ils pourront émettre des obligations sans mettre de pression sur le budget de l’État.  </w:t>
      </w:r>
    </w:p>
    <w:p w14:paraId="55BF66EA" w14:textId="29B8F2D9" w:rsidR="00DC317E" w:rsidRDefault="00DC317E" w:rsidP="00B93C42">
      <w:pPr>
        <w:spacing w:before="100" w:beforeAutospacing="1" w:after="100" w:afterAutospacing="1" w:line="360" w:lineRule="auto"/>
        <w:jc w:val="both"/>
        <w:rPr>
          <w:rFonts w:ascii="Georgia" w:eastAsia="Times New Roman" w:hAnsi="Georgia" w:cs="Times New Roman"/>
          <w:sz w:val="28"/>
          <w:szCs w:val="28"/>
          <w:lang w:val="fr-FR"/>
        </w:rPr>
      </w:pPr>
      <w:r>
        <w:rPr>
          <w:rFonts w:ascii="Georgia" w:eastAsia="Times New Roman" w:hAnsi="Georgia" w:cs="Times New Roman"/>
          <w:sz w:val="28"/>
          <w:szCs w:val="28"/>
          <w:lang w:val="fr-FR"/>
        </w:rPr>
        <w:t>Pour renverser la tendance, M. Ngendahayo</w:t>
      </w:r>
      <w:r w:rsidR="00057718" w:rsidRPr="00B93C42">
        <w:rPr>
          <w:rFonts w:ascii="Georgia" w:eastAsia="Times New Roman" w:hAnsi="Georgia" w:cs="Times New Roman"/>
          <w:sz w:val="28"/>
          <w:szCs w:val="28"/>
          <w:lang w:val="fr-FR"/>
        </w:rPr>
        <w:t xml:space="preserve"> recommande au gouvernement de mettre en place un programme de privatisation partielle des entreprises publiques et une obligation progressive de publication des états financiers audités. </w:t>
      </w:r>
      <w:r>
        <w:rPr>
          <w:rFonts w:ascii="Georgia" w:eastAsia="Times New Roman" w:hAnsi="Georgia" w:cs="Times New Roman"/>
          <w:sz w:val="28"/>
          <w:szCs w:val="28"/>
          <w:lang w:val="fr-FR"/>
        </w:rPr>
        <w:t xml:space="preserve">En outre, rappelle-t-il, </w:t>
      </w:r>
      <w:r w:rsidR="00057718" w:rsidRPr="00B93C42">
        <w:rPr>
          <w:rFonts w:ascii="Georgia" w:eastAsia="Times New Roman" w:hAnsi="Georgia" w:cs="Times New Roman"/>
          <w:sz w:val="28"/>
          <w:szCs w:val="28"/>
          <w:lang w:val="fr-FR"/>
        </w:rPr>
        <w:t xml:space="preserve">l’État est redevable du renforcement des capacités des juridictions commerciales spécialisées et de la mise en place d'une centrale nationale des bilans devant être pilotée par la BRB ou l'INSBU. </w:t>
      </w:r>
      <w:r w:rsidR="00057718" w:rsidRPr="00B93C42">
        <w:rPr>
          <w:rFonts w:ascii="Georgia" w:eastAsia="Times New Roman" w:hAnsi="Georgia" w:cs="Times New Roman"/>
          <w:i/>
          <w:sz w:val="28"/>
          <w:szCs w:val="28"/>
          <w:lang w:val="fr-FR"/>
        </w:rPr>
        <w:t>« Cette centrale permet d'assurer l'existence de données comparables et sectorielles sur l’</w:t>
      </w:r>
      <w:r>
        <w:rPr>
          <w:rFonts w:ascii="Georgia" w:eastAsia="Times New Roman" w:hAnsi="Georgia" w:cs="Times New Roman"/>
          <w:i/>
          <w:sz w:val="28"/>
          <w:szCs w:val="28"/>
          <w:lang w:val="fr-FR"/>
        </w:rPr>
        <w:t xml:space="preserve">état financier des entreprises </w:t>
      </w:r>
      <w:r w:rsidR="00057718" w:rsidRPr="00B93C42">
        <w:rPr>
          <w:rFonts w:ascii="Georgia" w:eastAsia="Times New Roman" w:hAnsi="Georgia" w:cs="Times New Roman"/>
          <w:i/>
          <w:sz w:val="28"/>
          <w:szCs w:val="28"/>
          <w:lang w:val="fr-FR"/>
        </w:rPr>
        <w:t>»</w:t>
      </w:r>
      <w:r>
        <w:rPr>
          <w:rFonts w:ascii="Georgia" w:eastAsia="Times New Roman" w:hAnsi="Georgia" w:cs="Times New Roman"/>
          <w:i/>
          <w:sz w:val="28"/>
          <w:szCs w:val="28"/>
          <w:lang w:val="fr-FR"/>
        </w:rPr>
        <w:t>,</w:t>
      </w:r>
      <w:r w:rsidR="00057718" w:rsidRPr="00B93C42">
        <w:rPr>
          <w:rFonts w:ascii="Georgia" w:eastAsia="Times New Roman" w:hAnsi="Georgia" w:cs="Times New Roman"/>
          <w:sz w:val="28"/>
          <w:szCs w:val="28"/>
          <w:lang w:val="fr-FR"/>
        </w:rPr>
        <w:t xml:space="preserve"> a-t-il mentionné. </w:t>
      </w:r>
    </w:p>
    <w:p w14:paraId="402E1DB7" w14:textId="77777777"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b/>
          <w:sz w:val="28"/>
          <w:szCs w:val="28"/>
          <w:lang w:val="fr-FR"/>
        </w:rPr>
        <w:t>Appel à tous les acteurs clés</w:t>
      </w:r>
    </w:p>
    <w:p w14:paraId="53A31241" w14:textId="77777777" w:rsidR="00DC317E" w:rsidRDefault="00DC317E" w:rsidP="00B93C42">
      <w:pPr>
        <w:spacing w:before="100" w:beforeAutospacing="1" w:after="100" w:afterAutospacing="1" w:line="360" w:lineRule="auto"/>
        <w:jc w:val="both"/>
        <w:rPr>
          <w:rFonts w:ascii="Georgia" w:eastAsia="Times New Roman" w:hAnsi="Georgia" w:cs="Times New Roman"/>
          <w:sz w:val="28"/>
          <w:szCs w:val="28"/>
          <w:lang w:val="fr-FR"/>
        </w:rPr>
      </w:pPr>
      <w:r>
        <w:rPr>
          <w:rFonts w:ascii="Georgia" w:eastAsia="Times New Roman" w:hAnsi="Georgia" w:cs="Times New Roman"/>
          <w:sz w:val="28"/>
          <w:szCs w:val="28"/>
          <w:lang w:val="fr-FR"/>
        </w:rPr>
        <w:t xml:space="preserve">Par ailleurs, </w:t>
      </w:r>
      <w:r w:rsidR="00057718" w:rsidRPr="00B93C42">
        <w:rPr>
          <w:rFonts w:ascii="Georgia" w:eastAsia="Times New Roman" w:hAnsi="Georgia" w:cs="Times New Roman"/>
          <w:sz w:val="28"/>
          <w:szCs w:val="28"/>
          <w:lang w:val="fr-FR"/>
        </w:rPr>
        <w:t>Eric</w:t>
      </w:r>
      <w:r>
        <w:rPr>
          <w:rFonts w:ascii="Georgia" w:eastAsia="Times New Roman" w:hAnsi="Georgia" w:cs="Times New Roman"/>
          <w:sz w:val="28"/>
          <w:szCs w:val="28"/>
          <w:lang w:val="fr-FR"/>
        </w:rPr>
        <w:t xml:space="preserve"> Ngendahayo</w:t>
      </w:r>
      <w:r w:rsidR="00057718" w:rsidRPr="00B93C42">
        <w:rPr>
          <w:rFonts w:ascii="Georgia" w:eastAsia="Times New Roman" w:hAnsi="Georgia" w:cs="Times New Roman"/>
          <w:sz w:val="28"/>
          <w:szCs w:val="28"/>
          <w:lang w:val="fr-FR"/>
        </w:rPr>
        <w:t xml:space="preserve"> demande à l’Autorité de régulation du marché des capitaux d’accélérer l'agrément des intermédiaires, auditeurs, sociétés de bourse, banques d'investissement, dépositaires, courtiers et d'imposer le respect des droits des actionnaires minoritaires.</w:t>
      </w:r>
      <w:r w:rsidR="00057718" w:rsidRPr="00B93C42">
        <w:rPr>
          <w:rFonts w:ascii="Georgia" w:eastAsia="Times New Roman" w:hAnsi="Georgia" w:cs="Times New Roman"/>
          <w:sz w:val="28"/>
          <w:szCs w:val="28"/>
          <w:lang w:val="fr-FR"/>
        </w:rPr>
        <w:br/>
        <w:t>Ensuite, ce régulateur est redevable de la mise en place d’un programme d'éducation financière boursière et assure la transparence, l'éthique et la rigueur dans les processus d'i</w:t>
      </w:r>
      <w:r>
        <w:rPr>
          <w:rFonts w:ascii="Georgia" w:eastAsia="Times New Roman" w:hAnsi="Georgia" w:cs="Times New Roman"/>
          <w:sz w:val="28"/>
          <w:szCs w:val="28"/>
          <w:lang w:val="fr-FR"/>
        </w:rPr>
        <w:t>ntroduction aux bourses.</w:t>
      </w:r>
    </w:p>
    <w:p w14:paraId="0D1F7F4D" w14:textId="77777777" w:rsidR="00DC317E"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 xml:space="preserve">Quant à la faitière du secteur privé (CFCIB, ABEF), l’expert recommande la sensibilisation des membres sur les opportunités du marché des capitaux. Ensuite, ceux-ci doivent faciliter l'émergence d'un code burundais de gouvernance d'entreprise. Et puis il s’avère opportun de </w:t>
      </w:r>
      <w:r w:rsidRPr="00B93C42">
        <w:rPr>
          <w:rFonts w:ascii="Georgia" w:eastAsia="Times New Roman" w:hAnsi="Georgia" w:cs="Times New Roman"/>
          <w:sz w:val="28"/>
          <w:szCs w:val="28"/>
          <w:lang w:val="fr-FR"/>
        </w:rPr>
        <w:lastRenderedPageBreak/>
        <w:t>créer une cellule d'assistance technique aux entreprises souhaitant émettre des titres, ainsi que la création d'un répertoire de prestataires agréés (juristes, experts, comptables, auditeur</w:t>
      </w:r>
      <w:r w:rsidR="00DC317E">
        <w:rPr>
          <w:rFonts w:ascii="Georgia" w:eastAsia="Times New Roman" w:hAnsi="Georgia" w:cs="Times New Roman"/>
          <w:sz w:val="28"/>
          <w:szCs w:val="28"/>
          <w:lang w:val="fr-FR"/>
        </w:rPr>
        <w:t>s).</w:t>
      </w:r>
    </w:p>
    <w:p w14:paraId="3C9244E5" w14:textId="77777777" w:rsidR="00B22B6E" w:rsidRDefault="00B22B6E" w:rsidP="00B93C42">
      <w:pPr>
        <w:spacing w:before="100" w:beforeAutospacing="1" w:after="100" w:afterAutospacing="1" w:line="360" w:lineRule="auto"/>
        <w:jc w:val="both"/>
        <w:rPr>
          <w:rFonts w:ascii="Georgia" w:eastAsia="Times New Roman" w:hAnsi="Georgia" w:cs="Times New Roman"/>
          <w:sz w:val="28"/>
          <w:szCs w:val="28"/>
          <w:lang w:val="fr-FR"/>
        </w:rPr>
      </w:pPr>
      <w:r>
        <w:rPr>
          <w:rFonts w:ascii="Georgia" w:eastAsia="Times New Roman" w:hAnsi="Georgia" w:cs="Times New Roman"/>
          <w:sz w:val="28"/>
          <w:szCs w:val="28"/>
          <w:lang w:val="fr-FR"/>
        </w:rPr>
        <w:t>A l’endroit de</w:t>
      </w:r>
      <w:r w:rsidR="00057718" w:rsidRPr="00B93C42">
        <w:rPr>
          <w:rFonts w:ascii="Georgia" w:eastAsia="Times New Roman" w:hAnsi="Georgia" w:cs="Times New Roman"/>
          <w:sz w:val="28"/>
          <w:szCs w:val="28"/>
          <w:lang w:val="fr-FR"/>
        </w:rPr>
        <w:t xml:space="preserve"> l'ordre des professionnels comptables, Eric </w:t>
      </w:r>
      <w:r>
        <w:rPr>
          <w:rFonts w:ascii="Georgia" w:eastAsia="Times New Roman" w:hAnsi="Georgia" w:cs="Times New Roman"/>
          <w:sz w:val="28"/>
          <w:szCs w:val="28"/>
          <w:lang w:val="fr-FR"/>
        </w:rPr>
        <w:t xml:space="preserve">Ngendahayo </w:t>
      </w:r>
      <w:r w:rsidR="00057718" w:rsidRPr="00B93C42">
        <w:rPr>
          <w:rFonts w:ascii="Georgia" w:eastAsia="Times New Roman" w:hAnsi="Georgia" w:cs="Times New Roman"/>
          <w:sz w:val="28"/>
          <w:szCs w:val="28"/>
          <w:lang w:val="fr-FR"/>
        </w:rPr>
        <w:t xml:space="preserve">préconise d’une part la mise en place d’un référentiel de compétences et de certifications pour les auditeurs intervenant sur le marché des capitaux. D’autre part, une élite d'auditeurs habilitée à signer les rapports destinés aux investisseurs publics. Et </w:t>
      </w:r>
      <w:r>
        <w:rPr>
          <w:rFonts w:ascii="Georgia" w:eastAsia="Times New Roman" w:hAnsi="Georgia" w:cs="Times New Roman"/>
          <w:sz w:val="28"/>
          <w:szCs w:val="28"/>
          <w:lang w:val="fr-FR"/>
        </w:rPr>
        <w:t xml:space="preserve">de </w:t>
      </w:r>
      <w:r w:rsidR="00057718" w:rsidRPr="00B93C42">
        <w:rPr>
          <w:rFonts w:ascii="Georgia" w:eastAsia="Times New Roman" w:hAnsi="Georgia" w:cs="Times New Roman"/>
          <w:sz w:val="28"/>
          <w:szCs w:val="28"/>
          <w:lang w:val="fr-FR"/>
        </w:rPr>
        <w:t xml:space="preserve">là, établir un registre public de ces capitaux et participer activement à la création de la centrale </w:t>
      </w:r>
      <w:r>
        <w:rPr>
          <w:rFonts w:ascii="Georgia" w:eastAsia="Times New Roman" w:hAnsi="Georgia" w:cs="Times New Roman"/>
          <w:sz w:val="28"/>
          <w:szCs w:val="28"/>
          <w:lang w:val="fr-FR"/>
        </w:rPr>
        <w:t>des bilans.</w:t>
      </w:r>
      <w:r>
        <w:rPr>
          <w:rFonts w:ascii="Georgia" w:eastAsia="Times New Roman" w:hAnsi="Georgia" w:cs="Times New Roman"/>
          <w:sz w:val="28"/>
          <w:szCs w:val="28"/>
          <w:lang w:val="fr-FR"/>
        </w:rPr>
        <w:br/>
      </w:r>
    </w:p>
    <w:p w14:paraId="047000CC" w14:textId="3AD7A96A" w:rsidR="00057718" w:rsidRDefault="00057718" w:rsidP="00B93C42">
      <w:pPr>
        <w:spacing w:before="100" w:beforeAutospacing="1" w:after="100" w:afterAutospacing="1" w:line="360" w:lineRule="auto"/>
        <w:jc w:val="both"/>
        <w:rPr>
          <w:rFonts w:ascii="Georgia" w:eastAsia="Times New Roman" w:hAnsi="Georgia" w:cs="Times New Roman"/>
          <w:sz w:val="28"/>
          <w:szCs w:val="28"/>
          <w:lang w:val="fr-FR"/>
        </w:rPr>
      </w:pPr>
      <w:r w:rsidRPr="00B93C42">
        <w:rPr>
          <w:rFonts w:ascii="Georgia" w:eastAsia="Times New Roman" w:hAnsi="Georgia" w:cs="Times New Roman"/>
          <w:sz w:val="28"/>
          <w:szCs w:val="28"/>
          <w:lang w:val="fr-FR"/>
        </w:rPr>
        <w:t>À l’endroit de l'ordre des avocats, le DG d’ORBIT recommande le renforcement de la form</w:t>
      </w:r>
      <w:r w:rsidR="00B22B6E">
        <w:rPr>
          <w:rFonts w:ascii="Georgia" w:eastAsia="Times New Roman" w:hAnsi="Georgia" w:cs="Times New Roman"/>
          <w:sz w:val="28"/>
          <w:szCs w:val="28"/>
          <w:lang w:val="fr-FR"/>
        </w:rPr>
        <w:t>ation des avocats sur les</w:t>
      </w:r>
      <w:r w:rsidRPr="00B93C42">
        <w:rPr>
          <w:rFonts w:ascii="Georgia" w:eastAsia="Times New Roman" w:hAnsi="Georgia" w:cs="Times New Roman"/>
          <w:sz w:val="28"/>
          <w:szCs w:val="28"/>
          <w:lang w:val="fr-FR"/>
        </w:rPr>
        <w:t xml:space="preserve"> diligences juridiques, les fusions-acquisitions et les marchés financiers. Ensuite, il est important de créer un pool d’avocats spécialisés </w:t>
      </w:r>
      <w:r w:rsidR="00B22B6E">
        <w:rPr>
          <w:rFonts w:ascii="Georgia" w:eastAsia="Times New Roman" w:hAnsi="Georgia" w:cs="Times New Roman"/>
          <w:sz w:val="28"/>
          <w:szCs w:val="28"/>
          <w:lang w:val="fr-FR"/>
        </w:rPr>
        <w:t xml:space="preserve">et </w:t>
      </w:r>
      <w:r w:rsidRPr="00B93C42">
        <w:rPr>
          <w:rFonts w:ascii="Georgia" w:eastAsia="Times New Roman" w:hAnsi="Georgia" w:cs="Times New Roman"/>
          <w:sz w:val="28"/>
          <w:szCs w:val="28"/>
          <w:lang w:val="fr-FR"/>
        </w:rPr>
        <w:t>habilités à accompagner les entreprises vers le marché. Et puis, l'ordre des avocats doit se doter d’un code de bonnes pratiques juridiques pour les opérations boursières. Enfin, celui-ci est appelé à favoriser la spécialisation en droit des affaires et en droit boursier avec la certificat</w:t>
      </w:r>
      <w:r w:rsidR="007B1C94" w:rsidRPr="00B93C42">
        <w:rPr>
          <w:rFonts w:ascii="Georgia" w:eastAsia="Times New Roman" w:hAnsi="Georgia" w:cs="Times New Roman"/>
          <w:sz w:val="28"/>
          <w:szCs w:val="28"/>
          <w:lang w:val="fr-FR"/>
        </w:rPr>
        <w:t>ion régionale ou internationale.</w:t>
      </w:r>
    </w:p>
    <w:p w14:paraId="00811425" w14:textId="77777777" w:rsidR="00B93C14" w:rsidRDefault="00B93C14" w:rsidP="00B93C42">
      <w:pPr>
        <w:spacing w:before="100" w:beforeAutospacing="1" w:after="100" w:afterAutospacing="1" w:line="360" w:lineRule="auto"/>
        <w:jc w:val="both"/>
        <w:rPr>
          <w:rFonts w:ascii="Georgia" w:eastAsia="Times New Roman" w:hAnsi="Georgia" w:cs="Times New Roman"/>
          <w:b/>
          <w:sz w:val="28"/>
          <w:szCs w:val="28"/>
          <w:lang w:val="fr-FR"/>
        </w:rPr>
      </w:pPr>
    </w:p>
    <w:p w14:paraId="7E8B0E9C" w14:textId="6AD4CB1D" w:rsidR="00B22B6E" w:rsidRPr="00B22B6E" w:rsidRDefault="00B22B6E" w:rsidP="00B93C42">
      <w:pPr>
        <w:spacing w:before="100" w:beforeAutospacing="1" w:after="100" w:afterAutospacing="1" w:line="360" w:lineRule="auto"/>
        <w:jc w:val="both"/>
        <w:rPr>
          <w:rFonts w:ascii="Georgia" w:eastAsia="Times New Roman" w:hAnsi="Georgia" w:cs="Times New Roman"/>
          <w:b/>
          <w:sz w:val="28"/>
          <w:szCs w:val="28"/>
          <w:lang w:val="fr-FR"/>
        </w:rPr>
      </w:pPr>
      <w:r w:rsidRPr="00B22B6E">
        <w:rPr>
          <w:rFonts w:ascii="Georgia" w:eastAsia="Times New Roman" w:hAnsi="Georgia" w:cs="Times New Roman"/>
          <w:b/>
          <w:sz w:val="28"/>
          <w:szCs w:val="28"/>
          <w:lang w:val="fr-FR"/>
        </w:rPr>
        <w:t xml:space="preserve">Elysée </w:t>
      </w:r>
      <w:proofErr w:type="spellStart"/>
      <w:r w:rsidRPr="00B22B6E">
        <w:rPr>
          <w:rFonts w:ascii="Georgia" w:eastAsia="Times New Roman" w:hAnsi="Georgia" w:cs="Times New Roman"/>
          <w:b/>
          <w:sz w:val="28"/>
          <w:szCs w:val="28"/>
          <w:lang w:val="fr-FR"/>
        </w:rPr>
        <w:t>Niyontoranwa</w:t>
      </w:r>
      <w:proofErr w:type="spellEnd"/>
    </w:p>
    <w:sectPr w:rsidR="00B22B6E" w:rsidRPr="00B22B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BB62" w14:textId="77777777" w:rsidR="00BE7B25" w:rsidRDefault="00BE7B25" w:rsidP="00EF38AF">
      <w:r>
        <w:separator/>
      </w:r>
    </w:p>
  </w:endnote>
  <w:endnote w:type="continuationSeparator" w:id="0">
    <w:p w14:paraId="1EE66006" w14:textId="77777777" w:rsidR="00BE7B25" w:rsidRDefault="00BE7B25" w:rsidP="00EF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418925"/>
      <w:docPartObj>
        <w:docPartGallery w:val="Page Numbers (Bottom of Page)"/>
        <w:docPartUnique/>
      </w:docPartObj>
    </w:sdtPr>
    <w:sdtContent>
      <w:p w14:paraId="08F661AB" w14:textId="7B66E57E" w:rsidR="00DB5C74" w:rsidRDefault="00DB5C74">
        <w:pPr>
          <w:pStyle w:val="Pieddepage"/>
          <w:jc w:val="right"/>
        </w:pPr>
        <w:r>
          <w:fldChar w:fldCharType="begin"/>
        </w:r>
        <w:r>
          <w:instrText>PAGE   \* MERGEFORMAT</w:instrText>
        </w:r>
        <w:r>
          <w:fldChar w:fldCharType="separate"/>
        </w:r>
        <w:r w:rsidR="00B22B6E" w:rsidRPr="00B22B6E">
          <w:rPr>
            <w:noProof/>
            <w:lang w:val="fr-FR"/>
          </w:rPr>
          <w:t>6</w:t>
        </w:r>
        <w:r>
          <w:fldChar w:fldCharType="end"/>
        </w:r>
      </w:p>
    </w:sdtContent>
  </w:sdt>
  <w:p w14:paraId="76652A44" w14:textId="77777777" w:rsidR="00DB5C74" w:rsidRDefault="00DB5C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AB2F" w14:textId="77777777" w:rsidR="00BE7B25" w:rsidRDefault="00BE7B25" w:rsidP="00EF38AF">
      <w:r>
        <w:separator/>
      </w:r>
    </w:p>
  </w:footnote>
  <w:footnote w:type="continuationSeparator" w:id="0">
    <w:p w14:paraId="053E0541" w14:textId="77777777" w:rsidR="00BE7B25" w:rsidRDefault="00BE7B25" w:rsidP="00EF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7C5"/>
    <w:multiLevelType w:val="hybridMultilevel"/>
    <w:tmpl w:val="5FEAF9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721CA"/>
    <w:multiLevelType w:val="hybridMultilevel"/>
    <w:tmpl w:val="411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4282"/>
    <w:multiLevelType w:val="hybridMultilevel"/>
    <w:tmpl w:val="3FC4C1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65A42"/>
    <w:multiLevelType w:val="hybridMultilevel"/>
    <w:tmpl w:val="F8BE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51E00"/>
    <w:multiLevelType w:val="hybridMultilevel"/>
    <w:tmpl w:val="3F38C0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0247E"/>
    <w:multiLevelType w:val="hybridMultilevel"/>
    <w:tmpl w:val="63A2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F2804"/>
    <w:multiLevelType w:val="hybridMultilevel"/>
    <w:tmpl w:val="9F8E7EEC"/>
    <w:lvl w:ilvl="0" w:tplc="957058D0">
      <w:start w:val="1"/>
      <w:numFmt w:val="bullet"/>
      <w:lvlText w:val="•"/>
      <w:lvlJc w:val="left"/>
      <w:pPr>
        <w:tabs>
          <w:tab w:val="num" w:pos="720"/>
        </w:tabs>
        <w:ind w:left="720" w:hanging="360"/>
      </w:pPr>
      <w:rPr>
        <w:rFonts w:ascii="Times New Roman" w:hAnsi="Times New Roman" w:hint="default"/>
      </w:rPr>
    </w:lvl>
    <w:lvl w:ilvl="1" w:tplc="AD089DE0" w:tentative="1">
      <w:start w:val="1"/>
      <w:numFmt w:val="bullet"/>
      <w:lvlText w:val="•"/>
      <w:lvlJc w:val="left"/>
      <w:pPr>
        <w:tabs>
          <w:tab w:val="num" w:pos="1440"/>
        </w:tabs>
        <w:ind w:left="1440" w:hanging="360"/>
      </w:pPr>
      <w:rPr>
        <w:rFonts w:ascii="Times New Roman" w:hAnsi="Times New Roman" w:hint="default"/>
      </w:rPr>
    </w:lvl>
    <w:lvl w:ilvl="2" w:tplc="49501196" w:tentative="1">
      <w:start w:val="1"/>
      <w:numFmt w:val="bullet"/>
      <w:lvlText w:val="•"/>
      <w:lvlJc w:val="left"/>
      <w:pPr>
        <w:tabs>
          <w:tab w:val="num" w:pos="2160"/>
        </w:tabs>
        <w:ind w:left="2160" w:hanging="360"/>
      </w:pPr>
      <w:rPr>
        <w:rFonts w:ascii="Times New Roman" w:hAnsi="Times New Roman" w:hint="default"/>
      </w:rPr>
    </w:lvl>
    <w:lvl w:ilvl="3" w:tplc="0476A562" w:tentative="1">
      <w:start w:val="1"/>
      <w:numFmt w:val="bullet"/>
      <w:lvlText w:val="•"/>
      <w:lvlJc w:val="left"/>
      <w:pPr>
        <w:tabs>
          <w:tab w:val="num" w:pos="2880"/>
        </w:tabs>
        <w:ind w:left="2880" w:hanging="360"/>
      </w:pPr>
      <w:rPr>
        <w:rFonts w:ascii="Times New Roman" w:hAnsi="Times New Roman" w:hint="default"/>
      </w:rPr>
    </w:lvl>
    <w:lvl w:ilvl="4" w:tplc="0BCE23E6" w:tentative="1">
      <w:start w:val="1"/>
      <w:numFmt w:val="bullet"/>
      <w:lvlText w:val="•"/>
      <w:lvlJc w:val="left"/>
      <w:pPr>
        <w:tabs>
          <w:tab w:val="num" w:pos="3600"/>
        </w:tabs>
        <w:ind w:left="3600" w:hanging="360"/>
      </w:pPr>
      <w:rPr>
        <w:rFonts w:ascii="Times New Roman" w:hAnsi="Times New Roman" w:hint="default"/>
      </w:rPr>
    </w:lvl>
    <w:lvl w:ilvl="5" w:tplc="BB3802D2" w:tentative="1">
      <w:start w:val="1"/>
      <w:numFmt w:val="bullet"/>
      <w:lvlText w:val="•"/>
      <w:lvlJc w:val="left"/>
      <w:pPr>
        <w:tabs>
          <w:tab w:val="num" w:pos="4320"/>
        </w:tabs>
        <w:ind w:left="4320" w:hanging="360"/>
      </w:pPr>
      <w:rPr>
        <w:rFonts w:ascii="Times New Roman" w:hAnsi="Times New Roman" w:hint="default"/>
      </w:rPr>
    </w:lvl>
    <w:lvl w:ilvl="6" w:tplc="706441E8" w:tentative="1">
      <w:start w:val="1"/>
      <w:numFmt w:val="bullet"/>
      <w:lvlText w:val="•"/>
      <w:lvlJc w:val="left"/>
      <w:pPr>
        <w:tabs>
          <w:tab w:val="num" w:pos="5040"/>
        </w:tabs>
        <w:ind w:left="5040" w:hanging="360"/>
      </w:pPr>
      <w:rPr>
        <w:rFonts w:ascii="Times New Roman" w:hAnsi="Times New Roman" w:hint="default"/>
      </w:rPr>
    </w:lvl>
    <w:lvl w:ilvl="7" w:tplc="E79CD552" w:tentative="1">
      <w:start w:val="1"/>
      <w:numFmt w:val="bullet"/>
      <w:lvlText w:val="•"/>
      <w:lvlJc w:val="left"/>
      <w:pPr>
        <w:tabs>
          <w:tab w:val="num" w:pos="5760"/>
        </w:tabs>
        <w:ind w:left="5760" w:hanging="360"/>
      </w:pPr>
      <w:rPr>
        <w:rFonts w:ascii="Times New Roman" w:hAnsi="Times New Roman" w:hint="default"/>
      </w:rPr>
    </w:lvl>
    <w:lvl w:ilvl="8" w:tplc="363C03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A62CB3"/>
    <w:multiLevelType w:val="hybridMultilevel"/>
    <w:tmpl w:val="3550B7B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F53270E"/>
    <w:multiLevelType w:val="hybridMultilevel"/>
    <w:tmpl w:val="1E52A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052C30"/>
    <w:multiLevelType w:val="hybridMultilevel"/>
    <w:tmpl w:val="E9F4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F363E"/>
    <w:multiLevelType w:val="hybridMultilevel"/>
    <w:tmpl w:val="4E34B066"/>
    <w:lvl w:ilvl="0" w:tplc="AC76BC82">
      <w:start w:val="1"/>
      <w:numFmt w:val="bullet"/>
      <w:lvlText w:val="•"/>
      <w:lvlJc w:val="left"/>
      <w:pPr>
        <w:tabs>
          <w:tab w:val="num" w:pos="720"/>
        </w:tabs>
        <w:ind w:left="720" w:hanging="360"/>
      </w:pPr>
      <w:rPr>
        <w:rFonts w:ascii="Arial" w:hAnsi="Arial" w:hint="default"/>
      </w:rPr>
    </w:lvl>
    <w:lvl w:ilvl="1" w:tplc="73BA0022" w:tentative="1">
      <w:start w:val="1"/>
      <w:numFmt w:val="bullet"/>
      <w:lvlText w:val="•"/>
      <w:lvlJc w:val="left"/>
      <w:pPr>
        <w:tabs>
          <w:tab w:val="num" w:pos="1440"/>
        </w:tabs>
        <w:ind w:left="1440" w:hanging="360"/>
      </w:pPr>
      <w:rPr>
        <w:rFonts w:ascii="Arial" w:hAnsi="Arial" w:hint="default"/>
      </w:rPr>
    </w:lvl>
    <w:lvl w:ilvl="2" w:tplc="99B67ADC" w:tentative="1">
      <w:start w:val="1"/>
      <w:numFmt w:val="bullet"/>
      <w:lvlText w:val="•"/>
      <w:lvlJc w:val="left"/>
      <w:pPr>
        <w:tabs>
          <w:tab w:val="num" w:pos="2160"/>
        </w:tabs>
        <w:ind w:left="2160" w:hanging="360"/>
      </w:pPr>
      <w:rPr>
        <w:rFonts w:ascii="Arial" w:hAnsi="Arial" w:hint="default"/>
      </w:rPr>
    </w:lvl>
    <w:lvl w:ilvl="3" w:tplc="D44AB974" w:tentative="1">
      <w:start w:val="1"/>
      <w:numFmt w:val="bullet"/>
      <w:lvlText w:val="•"/>
      <w:lvlJc w:val="left"/>
      <w:pPr>
        <w:tabs>
          <w:tab w:val="num" w:pos="2880"/>
        </w:tabs>
        <w:ind w:left="2880" w:hanging="360"/>
      </w:pPr>
      <w:rPr>
        <w:rFonts w:ascii="Arial" w:hAnsi="Arial" w:hint="default"/>
      </w:rPr>
    </w:lvl>
    <w:lvl w:ilvl="4" w:tplc="1DF8FF3E" w:tentative="1">
      <w:start w:val="1"/>
      <w:numFmt w:val="bullet"/>
      <w:lvlText w:val="•"/>
      <w:lvlJc w:val="left"/>
      <w:pPr>
        <w:tabs>
          <w:tab w:val="num" w:pos="3600"/>
        </w:tabs>
        <w:ind w:left="3600" w:hanging="360"/>
      </w:pPr>
      <w:rPr>
        <w:rFonts w:ascii="Arial" w:hAnsi="Arial" w:hint="default"/>
      </w:rPr>
    </w:lvl>
    <w:lvl w:ilvl="5" w:tplc="992A865A" w:tentative="1">
      <w:start w:val="1"/>
      <w:numFmt w:val="bullet"/>
      <w:lvlText w:val="•"/>
      <w:lvlJc w:val="left"/>
      <w:pPr>
        <w:tabs>
          <w:tab w:val="num" w:pos="4320"/>
        </w:tabs>
        <w:ind w:left="4320" w:hanging="360"/>
      </w:pPr>
      <w:rPr>
        <w:rFonts w:ascii="Arial" w:hAnsi="Arial" w:hint="default"/>
      </w:rPr>
    </w:lvl>
    <w:lvl w:ilvl="6" w:tplc="C9D0BBA0" w:tentative="1">
      <w:start w:val="1"/>
      <w:numFmt w:val="bullet"/>
      <w:lvlText w:val="•"/>
      <w:lvlJc w:val="left"/>
      <w:pPr>
        <w:tabs>
          <w:tab w:val="num" w:pos="5040"/>
        </w:tabs>
        <w:ind w:left="5040" w:hanging="360"/>
      </w:pPr>
      <w:rPr>
        <w:rFonts w:ascii="Arial" w:hAnsi="Arial" w:hint="default"/>
      </w:rPr>
    </w:lvl>
    <w:lvl w:ilvl="7" w:tplc="921C9EB8" w:tentative="1">
      <w:start w:val="1"/>
      <w:numFmt w:val="bullet"/>
      <w:lvlText w:val="•"/>
      <w:lvlJc w:val="left"/>
      <w:pPr>
        <w:tabs>
          <w:tab w:val="num" w:pos="5760"/>
        </w:tabs>
        <w:ind w:left="5760" w:hanging="360"/>
      </w:pPr>
      <w:rPr>
        <w:rFonts w:ascii="Arial" w:hAnsi="Arial" w:hint="default"/>
      </w:rPr>
    </w:lvl>
    <w:lvl w:ilvl="8" w:tplc="8D1012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860BDD"/>
    <w:multiLevelType w:val="hybridMultilevel"/>
    <w:tmpl w:val="832813A2"/>
    <w:lvl w:ilvl="0" w:tplc="7A103824">
      <w:start w:val="1"/>
      <w:numFmt w:val="bullet"/>
      <w:lvlText w:val="•"/>
      <w:lvlJc w:val="left"/>
      <w:pPr>
        <w:tabs>
          <w:tab w:val="num" w:pos="720"/>
        </w:tabs>
        <w:ind w:left="720" w:hanging="360"/>
      </w:pPr>
      <w:rPr>
        <w:rFonts w:ascii="Arial" w:hAnsi="Arial" w:hint="default"/>
      </w:rPr>
    </w:lvl>
    <w:lvl w:ilvl="1" w:tplc="49965168" w:tentative="1">
      <w:start w:val="1"/>
      <w:numFmt w:val="bullet"/>
      <w:lvlText w:val="•"/>
      <w:lvlJc w:val="left"/>
      <w:pPr>
        <w:tabs>
          <w:tab w:val="num" w:pos="1440"/>
        </w:tabs>
        <w:ind w:left="1440" w:hanging="360"/>
      </w:pPr>
      <w:rPr>
        <w:rFonts w:ascii="Arial" w:hAnsi="Arial" w:hint="default"/>
      </w:rPr>
    </w:lvl>
    <w:lvl w:ilvl="2" w:tplc="83FAB764" w:tentative="1">
      <w:start w:val="1"/>
      <w:numFmt w:val="bullet"/>
      <w:lvlText w:val="•"/>
      <w:lvlJc w:val="left"/>
      <w:pPr>
        <w:tabs>
          <w:tab w:val="num" w:pos="2160"/>
        </w:tabs>
        <w:ind w:left="2160" w:hanging="360"/>
      </w:pPr>
      <w:rPr>
        <w:rFonts w:ascii="Arial" w:hAnsi="Arial" w:hint="default"/>
      </w:rPr>
    </w:lvl>
    <w:lvl w:ilvl="3" w:tplc="FA02CC10" w:tentative="1">
      <w:start w:val="1"/>
      <w:numFmt w:val="bullet"/>
      <w:lvlText w:val="•"/>
      <w:lvlJc w:val="left"/>
      <w:pPr>
        <w:tabs>
          <w:tab w:val="num" w:pos="2880"/>
        </w:tabs>
        <w:ind w:left="2880" w:hanging="360"/>
      </w:pPr>
      <w:rPr>
        <w:rFonts w:ascii="Arial" w:hAnsi="Arial" w:hint="default"/>
      </w:rPr>
    </w:lvl>
    <w:lvl w:ilvl="4" w:tplc="3C342310" w:tentative="1">
      <w:start w:val="1"/>
      <w:numFmt w:val="bullet"/>
      <w:lvlText w:val="•"/>
      <w:lvlJc w:val="left"/>
      <w:pPr>
        <w:tabs>
          <w:tab w:val="num" w:pos="3600"/>
        </w:tabs>
        <w:ind w:left="3600" w:hanging="360"/>
      </w:pPr>
      <w:rPr>
        <w:rFonts w:ascii="Arial" w:hAnsi="Arial" w:hint="default"/>
      </w:rPr>
    </w:lvl>
    <w:lvl w:ilvl="5" w:tplc="97CCE816" w:tentative="1">
      <w:start w:val="1"/>
      <w:numFmt w:val="bullet"/>
      <w:lvlText w:val="•"/>
      <w:lvlJc w:val="left"/>
      <w:pPr>
        <w:tabs>
          <w:tab w:val="num" w:pos="4320"/>
        </w:tabs>
        <w:ind w:left="4320" w:hanging="360"/>
      </w:pPr>
      <w:rPr>
        <w:rFonts w:ascii="Arial" w:hAnsi="Arial" w:hint="default"/>
      </w:rPr>
    </w:lvl>
    <w:lvl w:ilvl="6" w:tplc="27207B00" w:tentative="1">
      <w:start w:val="1"/>
      <w:numFmt w:val="bullet"/>
      <w:lvlText w:val="•"/>
      <w:lvlJc w:val="left"/>
      <w:pPr>
        <w:tabs>
          <w:tab w:val="num" w:pos="5040"/>
        </w:tabs>
        <w:ind w:left="5040" w:hanging="360"/>
      </w:pPr>
      <w:rPr>
        <w:rFonts w:ascii="Arial" w:hAnsi="Arial" w:hint="default"/>
      </w:rPr>
    </w:lvl>
    <w:lvl w:ilvl="7" w:tplc="1AD0DFBE" w:tentative="1">
      <w:start w:val="1"/>
      <w:numFmt w:val="bullet"/>
      <w:lvlText w:val="•"/>
      <w:lvlJc w:val="left"/>
      <w:pPr>
        <w:tabs>
          <w:tab w:val="num" w:pos="5760"/>
        </w:tabs>
        <w:ind w:left="5760" w:hanging="360"/>
      </w:pPr>
      <w:rPr>
        <w:rFonts w:ascii="Arial" w:hAnsi="Arial" w:hint="default"/>
      </w:rPr>
    </w:lvl>
    <w:lvl w:ilvl="8" w:tplc="11E4A6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8B29ED"/>
    <w:multiLevelType w:val="hybridMultilevel"/>
    <w:tmpl w:val="6D4A3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15D"/>
    <w:multiLevelType w:val="hybridMultilevel"/>
    <w:tmpl w:val="9A2AE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2B4B20"/>
    <w:multiLevelType w:val="hybridMultilevel"/>
    <w:tmpl w:val="973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23EF1"/>
    <w:multiLevelType w:val="hybridMultilevel"/>
    <w:tmpl w:val="13527326"/>
    <w:lvl w:ilvl="0" w:tplc="84A6716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FB13B8F"/>
    <w:multiLevelType w:val="hybridMultilevel"/>
    <w:tmpl w:val="24F2D16C"/>
    <w:lvl w:ilvl="0" w:tplc="C76AC0EE">
      <w:start w:val="1"/>
      <w:numFmt w:val="bullet"/>
      <w:lvlText w:val="•"/>
      <w:lvlJc w:val="left"/>
      <w:pPr>
        <w:tabs>
          <w:tab w:val="num" w:pos="720"/>
        </w:tabs>
        <w:ind w:left="720" w:hanging="360"/>
      </w:pPr>
      <w:rPr>
        <w:rFonts w:ascii="Times New Roman" w:hAnsi="Times New Roman" w:hint="default"/>
      </w:rPr>
    </w:lvl>
    <w:lvl w:ilvl="1" w:tplc="ED186E3C">
      <w:start w:val="1"/>
      <w:numFmt w:val="bullet"/>
      <w:lvlText w:val="•"/>
      <w:lvlJc w:val="left"/>
      <w:pPr>
        <w:tabs>
          <w:tab w:val="num" w:pos="1440"/>
        </w:tabs>
        <w:ind w:left="1440" w:hanging="360"/>
      </w:pPr>
      <w:rPr>
        <w:rFonts w:ascii="Times New Roman" w:hAnsi="Times New Roman" w:hint="default"/>
      </w:rPr>
    </w:lvl>
    <w:lvl w:ilvl="2" w:tplc="6296A7B4" w:tentative="1">
      <w:start w:val="1"/>
      <w:numFmt w:val="bullet"/>
      <w:lvlText w:val="•"/>
      <w:lvlJc w:val="left"/>
      <w:pPr>
        <w:tabs>
          <w:tab w:val="num" w:pos="2160"/>
        </w:tabs>
        <w:ind w:left="2160" w:hanging="360"/>
      </w:pPr>
      <w:rPr>
        <w:rFonts w:ascii="Times New Roman" w:hAnsi="Times New Roman" w:hint="default"/>
      </w:rPr>
    </w:lvl>
    <w:lvl w:ilvl="3" w:tplc="364418D8" w:tentative="1">
      <w:start w:val="1"/>
      <w:numFmt w:val="bullet"/>
      <w:lvlText w:val="•"/>
      <w:lvlJc w:val="left"/>
      <w:pPr>
        <w:tabs>
          <w:tab w:val="num" w:pos="2880"/>
        </w:tabs>
        <w:ind w:left="2880" w:hanging="360"/>
      </w:pPr>
      <w:rPr>
        <w:rFonts w:ascii="Times New Roman" w:hAnsi="Times New Roman" w:hint="default"/>
      </w:rPr>
    </w:lvl>
    <w:lvl w:ilvl="4" w:tplc="57B2CF0C" w:tentative="1">
      <w:start w:val="1"/>
      <w:numFmt w:val="bullet"/>
      <w:lvlText w:val="•"/>
      <w:lvlJc w:val="left"/>
      <w:pPr>
        <w:tabs>
          <w:tab w:val="num" w:pos="3600"/>
        </w:tabs>
        <w:ind w:left="3600" w:hanging="360"/>
      </w:pPr>
      <w:rPr>
        <w:rFonts w:ascii="Times New Roman" w:hAnsi="Times New Roman" w:hint="default"/>
      </w:rPr>
    </w:lvl>
    <w:lvl w:ilvl="5" w:tplc="7FA45178" w:tentative="1">
      <w:start w:val="1"/>
      <w:numFmt w:val="bullet"/>
      <w:lvlText w:val="•"/>
      <w:lvlJc w:val="left"/>
      <w:pPr>
        <w:tabs>
          <w:tab w:val="num" w:pos="4320"/>
        </w:tabs>
        <w:ind w:left="4320" w:hanging="360"/>
      </w:pPr>
      <w:rPr>
        <w:rFonts w:ascii="Times New Roman" w:hAnsi="Times New Roman" w:hint="default"/>
      </w:rPr>
    </w:lvl>
    <w:lvl w:ilvl="6" w:tplc="D9C297D4" w:tentative="1">
      <w:start w:val="1"/>
      <w:numFmt w:val="bullet"/>
      <w:lvlText w:val="•"/>
      <w:lvlJc w:val="left"/>
      <w:pPr>
        <w:tabs>
          <w:tab w:val="num" w:pos="5040"/>
        </w:tabs>
        <w:ind w:left="5040" w:hanging="360"/>
      </w:pPr>
      <w:rPr>
        <w:rFonts w:ascii="Times New Roman" w:hAnsi="Times New Roman" w:hint="default"/>
      </w:rPr>
    </w:lvl>
    <w:lvl w:ilvl="7" w:tplc="166A5CFA" w:tentative="1">
      <w:start w:val="1"/>
      <w:numFmt w:val="bullet"/>
      <w:lvlText w:val="•"/>
      <w:lvlJc w:val="left"/>
      <w:pPr>
        <w:tabs>
          <w:tab w:val="num" w:pos="5760"/>
        </w:tabs>
        <w:ind w:left="5760" w:hanging="360"/>
      </w:pPr>
      <w:rPr>
        <w:rFonts w:ascii="Times New Roman" w:hAnsi="Times New Roman" w:hint="default"/>
      </w:rPr>
    </w:lvl>
    <w:lvl w:ilvl="8" w:tplc="6C6AB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A07498"/>
    <w:multiLevelType w:val="hybridMultilevel"/>
    <w:tmpl w:val="4D6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786087">
    <w:abstractNumId w:val="15"/>
  </w:num>
  <w:num w:numId="2" w16cid:durableId="490364404">
    <w:abstractNumId w:val="4"/>
  </w:num>
  <w:num w:numId="3" w16cid:durableId="841818035">
    <w:abstractNumId w:val="9"/>
  </w:num>
  <w:num w:numId="4" w16cid:durableId="2037995210">
    <w:abstractNumId w:val="13"/>
  </w:num>
  <w:num w:numId="5" w16cid:durableId="1207445952">
    <w:abstractNumId w:val="1"/>
  </w:num>
  <w:num w:numId="6" w16cid:durableId="146437214">
    <w:abstractNumId w:val="7"/>
  </w:num>
  <w:num w:numId="7" w16cid:durableId="64960561">
    <w:abstractNumId w:val="5"/>
  </w:num>
  <w:num w:numId="8" w16cid:durableId="1963221170">
    <w:abstractNumId w:val="0"/>
  </w:num>
  <w:num w:numId="9" w16cid:durableId="1807817757">
    <w:abstractNumId w:val="2"/>
  </w:num>
  <w:num w:numId="10" w16cid:durableId="1092974037">
    <w:abstractNumId w:val="8"/>
  </w:num>
  <w:num w:numId="11" w16cid:durableId="1044870398">
    <w:abstractNumId w:val="12"/>
  </w:num>
  <w:num w:numId="12" w16cid:durableId="1178809023">
    <w:abstractNumId w:val="3"/>
  </w:num>
  <w:num w:numId="13" w16cid:durableId="1326858887">
    <w:abstractNumId w:val="14"/>
  </w:num>
  <w:num w:numId="14" w16cid:durableId="2056539487">
    <w:abstractNumId w:val="17"/>
  </w:num>
  <w:num w:numId="15" w16cid:durableId="284586602">
    <w:abstractNumId w:val="10"/>
  </w:num>
  <w:num w:numId="16" w16cid:durableId="1587492665">
    <w:abstractNumId w:val="6"/>
  </w:num>
  <w:num w:numId="17" w16cid:durableId="1802376835">
    <w:abstractNumId w:val="16"/>
  </w:num>
  <w:num w:numId="18" w16cid:durableId="74811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A0"/>
    <w:rsid w:val="0000136D"/>
    <w:rsid w:val="00057223"/>
    <w:rsid w:val="00057718"/>
    <w:rsid w:val="000A0D16"/>
    <w:rsid w:val="000A1418"/>
    <w:rsid w:val="000B58E0"/>
    <w:rsid w:val="000D4BAD"/>
    <w:rsid w:val="001278FA"/>
    <w:rsid w:val="001F0E55"/>
    <w:rsid w:val="001F218D"/>
    <w:rsid w:val="00227418"/>
    <w:rsid w:val="00240F9E"/>
    <w:rsid w:val="00266389"/>
    <w:rsid w:val="0029359C"/>
    <w:rsid w:val="002E2175"/>
    <w:rsid w:val="002E7CA9"/>
    <w:rsid w:val="00306861"/>
    <w:rsid w:val="00315106"/>
    <w:rsid w:val="00337746"/>
    <w:rsid w:val="003E43C6"/>
    <w:rsid w:val="004153A0"/>
    <w:rsid w:val="00513677"/>
    <w:rsid w:val="00531A64"/>
    <w:rsid w:val="00545A96"/>
    <w:rsid w:val="00571FCC"/>
    <w:rsid w:val="005944DE"/>
    <w:rsid w:val="006079A0"/>
    <w:rsid w:val="006105FC"/>
    <w:rsid w:val="00625789"/>
    <w:rsid w:val="006407D2"/>
    <w:rsid w:val="006B23EA"/>
    <w:rsid w:val="006C6BBF"/>
    <w:rsid w:val="006F34E4"/>
    <w:rsid w:val="006F728B"/>
    <w:rsid w:val="00706FAE"/>
    <w:rsid w:val="007318C3"/>
    <w:rsid w:val="00736304"/>
    <w:rsid w:val="00762B24"/>
    <w:rsid w:val="007A4BB2"/>
    <w:rsid w:val="007B1C94"/>
    <w:rsid w:val="007B5EEB"/>
    <w:rsid w:val="007F6268"/>
    <w:rsid w:val="008415D8"/>
    <w:rsid w:val="008875CE"/>
    <w:rsid w:val="0089192E"/>
    <w:rsid w:val="008C284F"/>
    <w:rsid w:val="008E3735"/>
    <w:rsid w:val="00911A75"/>
    <w:rsid w:val="00962D6B"/>
    <w:rsid w:val="00986EA8"/>
    <w:rsid w:val="009C5EF4"/>
    <w:rsid w:val="009D4201"/>
    <w:rsid w:val="009E7022"/>
    <w:rsid w:val="009F70B0"/>
    <w:rsid w:val="00A04052"/>
    <w:rsid w:val="00A35624"/>
    <w:rsid w:val="00A41D81"/>
    <w:rsid w:val="00A66EB2"/>
    <w:rsid w:val="00AC3BEF"/>
    <w:rsid w:val="00B22B6E"/>
    <w:rsid w:val="00B46A59"/>
    <w:rsid w:val="00B93C14"/>
    <w:rsid w:val="00B93C42"/>
    <w:rsid w:val="00BC6C7C"/>
    <w:rsid w:val="00BE7B25"/>
    <w:rsid w:val="00C029EB"/>
    <w:rsid w:val="00C2382A"/>
    <w:rsid w:val="00CC6E66"/>
    <w:rsid w:val="00D032A4"/>
    <w:rsid w:val="00D90AC8"/>
    <w:rsid w:val="00D919E6"/>
    <w:rsid w:val="00DA1AE9"/>
    <w:rsid w:val="00DB06CE"/>
    <w:rsid w:val="00DB5C74"/>
    <w:rsid w:val="00DC317E"/>
    <w:rsid w:val="00DD10A9"/>
    <w:rsid w:val="00E3240C"/>
    <w:rsid w:val="00E36A40"/>
    <w:rsid w:val="00E74007"/>
    <w:rsid w:val="00EB568B"/>
    <w:rsid w:val="00EE0CAA"/>
    <w:rsid w:val="00EF38AF"/>
    <w:rsid w:val="00F12D5F"/>
    <w:rsid w:val="00F4267C"/>
    <w:rsid w:val="00F55C3A"/>
    <w:rsid w:val="00F73962"/>
    <w:rsid w:val="00F973A3"/>
    <w:rsid w:val="00FC4427"/>
    <w:rsid w:val="00FE5206"/>
    <w:rsid w:val="00FF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4EB5"/>
  <w15:chartTrackingRefBased/>
  <w15:docId w15:val="{2A4F7EEE-23BF-4987-8203-0ACA203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Titre1">
    <w:name w:val="heading 1"/>
    <w:basedOn w:val="Normal"/>
    <w:next w:val="Normal"/>
    <w:link w:val="Titre1Car"/>
    <w:uiPriority w:val="9"/>
    <w:qFormat/>
    <w:rsid w:val="006079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079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079A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079A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079A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079A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79A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79A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79A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79A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079A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079A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079A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079A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079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79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79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79A0"/>
    <w:rPr>
      <w:rFonts w:eastAsiaTheme="majorEastAsia" w:cstheme="majorBidi"/>
      <w:color w:val="272727" w:themeColor="text1" w:themeTint="D8"/>
    </w:rPr>
  </w:style>
  <w:style w:type="paragraph" w:styleId="Titre">
    <w:name w:val="Title"/>
    <w:basedOn w:val="Normal"/>
    <w:next w:val="Normal"/>
    <w:link w:val="TitreCar"/>
    <w:uiPriority w:val="10"/>
    <w:qFormat/>
    <w:rsid w:val="006079A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79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79A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79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79A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079A0"/>
    <w:rPr>
      <w:i/>
      <w:iCs/>
      <w:color w:val="404040" w:themeColor="text1" w:themeTint="BF"/>
    </w:rPr>
  </w:style>
  <w:style w:type="paragraph" w:styleId="Paragraphedeliste">
    <w:name w:val="List Paragraph"/>
    <w:basedOn w:val="Normal"/>
    <w:uiPriority w:val="34"/>
    <w:qFormat/>
    <w:rsid w:val="006079A0"/>
    <w:pPr>
      <w:ind w:left="720"/>
      <w:contextualSpacing/>
    </w:pPr>
  </w:style>
  <w:style w:type="character" w:styleId="Accentuationintense">
    <w:name w:val="Intense Emphasis"/>
    <w:basedOn w:val="Policepardfaut"/>
    <w:uiPriority w:val="21"/>
    <w:qFormat/>
    <w:rsid w:val="006079A0"/>
    <w:rPr>
      <w:i/>
      <w:iCs/>
      <w:color w:val="2F5496" w:themeColor="accent1" w:themeShade="BF"/>
    </w:rPr>
  </w:style>
  <w:style w:type="paragraph" w:styleId="Citationintense">
    <w:name w:val="Intense Quote"/>
    <w:basedOn w:val="Normal"/>
    <w:next w:val="Normal"/>
    <w:link w:val="CitationintenseCar"/>
    <w:uiPriority w:val="30"/>
    <w:qFormat/>
    <w:rsid w:val="00607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079A0"/>
    <w:rPr>
      <w:i/>
      <w:iCs/>
      <w:color w:val="2F5496" w:themeColor="accent1" w:themeShade="BF"/>
    </w:rPr>
  </w:style>
  <w:style w:type="character" w:styleId="Rfrenceintense">
    <w:name w:val="Intense Reference"/>
    <w:basedOn w:val="Policepardfaut"/>
    <w:uiPriority w:val="32"/>
    <w:qFormat/>
    <w:rsid w:val="006079A0"/>
    <w:rPr>
      <w:b/>
      <w:bCs/>
      <w:smallCaps/>
      <w:color w:val="2F5496" w:themeColor="accent1" w:themeShade="BF"/>
      <w:spacing w:val="5"/>
    </w:rPr>
  </w:style>
  <w:style w:type="paragraph" w:styleId="En-tte">
    <w:name w:val="header"/>
    <w:basedOn w:val="Normal"/>
    <w:link w:val="En-tteCar"/>
    <w:uiPriority w:val="99"/>
    <w:unhideWhenUsed/>
    <w:rsid w:val="00EF38AF"/>
    <w:pPr>
      <w:tabs>
        <w:tab w:val="center" w:pos="4536"/>
        <w:tab w:val="right" w:pos="9072"/>
      </w:tabs>
    </w:pPr>
  </w:style>
  <w:style w:type="character" w:customStyle="1" w:styleId="En-tteCar">
    <w:name w:val="En-tête Car"/>
    <w:basedOn w:val="Policepardfaut"/>
    <w:link w:val="En-tte"/>
    <w:uiPriority w:val="99"/>
    <w:rsid w:val="00EF38AF"/>
  </w:style>
  <w:style w:type="paragraph" w:styleId="Pieddepage">
    <w:name w:val="footer"/>
    <w:basedOn w:val="Normal"/>
    <w:link w:val="PieddepageCar"/>
    <w:uiPriority w:val="99"/>
    <w:unhideWhenUsed/>
    <w:rsid w:val="00EF38AF"/>
    <w:pPr>
      <w:tabs>
        <w:tab w:val="center" w:pos="4536"/>
        <w:tab w:val="right" w:pos="9072"/>
      </w:tabs>
    </w:pPr>
  </w:style>
  <w:style w:type="character" w:customStyle="1" w:styleId="PieddepageCar">
    <w:name w:val="Pied de page Car"/>
    <w:basedOn w:val="Policepardfaut"/>
    <w:link w:val="Pieddepage"/>
    <w:uiPriority w:val="99"/>
    <w:rsid w:val="00EF38AF"/>
  </w:style>
  <w:style w:type="paragraph" w:styleId="NormalWeb">
    <w:name w:val="Normal (Web)"/>
    <w:basedOn w:val="Normal"/>
    <w:uiPriority w:val="99"/>
    <w:semiHidden/>
    <w:unhideWhenUsed/>
    <w:rsid w:val="00A04052"/>
    <w:pPr>
      <w:spacing w:before="100" w:beforeAutospacing="1" w:after="100" w:afterAutospacing="1"/>
    </w:pPr>
    <w:rPr>
      <w:rFonts w:ascii="Times New Roman" w:eastAsia="Times New Roman" w:hAnsi="Times New Roman" w:cs="Times New Roman"/>
      <w:sz w:val="24"/>
      <w:szCs w:val="24"/>
    </w:rPr>
  </w:style>
  <w:style w:type="paragraph" w:styleId="Notedefin">
    <w:name w:val="endnote text"/>
    <w:basedOn w:val="Normal"/>
    <w:link w:val="NotedefinCar"/>
    <w:uiPriority w:val="99"/>
    <w:semiHidden/>
    <w:unhideWhenUsed/>
    <w:rsid w:val="00266389"/>
    <w:rPr>
      <w:sz w:val="20"/>
      <w:szCs w:val="20"/>
    </w:rPr>
  </w:style>
  <w:style w:type="character" w:customStyle="1" w:styleId="NotedefinCar">
    <w:name w:val="Note de fin Car"/>
    <w:basedOn w:val="Policepardfaut"/>
    <w:link w:val="Notedefin"/>
    <w:uiPriority w:val="99"/>
    <w:semiHidden/>
    <w:rsid w:val="00266389"/>
    <w:rPr>
      <w:sz w:val="20"/>
      <w:szCs w:val="20"/>
    </w:rPr>
  </w:style>
  <w:style w:type="character" w:styleId="Appeldenotedefin">
    <w:name w:val="endnote reference"/>
    <w:basedOn w:val="Policepardfaut"/>
    <w:uiPriority w:val="99"/>
    <w:semiHidden/>
    <w:unhideWhenUsed/>
    <w:rsid w:val="00266389"/>
    <w:rPr>
      <w:vertAlign w:val="superscript"/>
    </w:rPr>
  </w:style>
  <w:style w:type="table" w:styleId="Grilledutableau">
    <w:name w:val="Table Grid"/>
    <w:basedOn w:val="TableauNormal"/>
    <w:uiPriority w:val="39"/>
    <w:rsid w:val="00986E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57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6328">
      <w:bodyDiv w:val="1"/>
      <w:marLeft w:val="0"/>
      <w:marRight w:val="0"/>
      <w:marTop w:val="0"/>
      <w:marBottom w:val="0"/>
      <w:divBdr>
        <w:top w:val="none" w:sz="0" w:space="0" w:color="auto"/>
        <w:left w:val="none" w:sz="0" w:space="0" w:color="auto"/>
        <w:bottom w:val="none" w:sz="0" w:space="0" w:color="auto"/>
        <w:right w:val="none" w:sz="0" w:space="0" w:color="auto"/>
      </w:divBdr>
      <w:divsChild>
        <w:div w:id="1556312479">
          <w:marLeft w:val="360"/>
          <w:marRight w:val="0"/>
          <w:marTop w:val="200"/>
          <w:marBottom w:val="0"/>
          <w:divBdr>
            <w:top w:val="none" w:sz="0" w:space="0" w:color="auto"/>
            <w:left w:val="none" w:sz="0" w:space="0" w:color="auto"/>
            <w:bottom w:val="none" w:sz="0" w:space="0" w:color="auto"/>
            <w:right w:val="none" w:sz="0" w:space="0" w:color="auto"/>
          </w:divBdr>
        </w:div>
        <w:div w:id="1030685179">
          <w:marLeft w:val="360"/>
          <w:marRight w:val="0"/>
          <w:marTop w:val="200"/>
          <w:marBottom w:val="0"/>
          <w:divBdr>
            <w:top w:val="none" w:sz="0" w:space="0" w:color="auto"/>
            <w:left w:val="none" w:sz="0" w:space="0" w:color="auto"/>
            <w:bottom w:val="none" w:sz="0" w:space="0" w:color="auto"/>
            <w:right w:val="none" w:sz="0" w:space="0" w:color="auto"/>
          </w:divBdr>
        </w:div>
        <w:div w:id="375355354">
          <w:marLeft w:val="360"/>
          <w:marRight w:val="0"/>
          <w:marTop w:val="200"/>
          <w:marBottom w:val="0"/>
          <w:divBdr>
            <w:top w:val="none" w:sz="0" w:space="0" w:color="auto"/>
            <w:left w:val="none" w:sz="0" w:space="0" w:color="auto"/>
            <w:bottom w:val="none" w:sz="0" w:space="0" w:color="auto"/>
            <w:right w:val="none" w:sz="0" w:space="0" w:color="auto"/>
          </w:divBdr>
        </w:div>
        <w:div w:id="1999844753">
          <w:marLeft w:val="360"/>
          <w:marRight w:val="0"/>
          <w:marTop w:val="200"/>
          <w:marBottom w:val="0"/>
          <w:divBdr>
            <w:top w:val="none" w:sz="0" w:space="0" w:color="auto"/>
            <w:left w:val="none" w:sz="0" w:space="0" w:color="auto"/>
            <w:bottom w:val="none" w:sz="0" w:space="0" w:color="auto"/>
            <w:right w:val="none" w:sz="0" w:space="0" w:color="auto"/>
          </w:divBdr>
        </w:div>
      </w:divsChild>
    </w:div>
    <w:div w:id="580991925">
      <w:bodyDiv w:val="1"/>
      <w:marLeft w:val="0"/>
      <w:marRight w:val="0"/>
      <w:marTop w:val="0"/>
      <w:marBottom w:val="0"/>
      <w:divBdr>
        <w:top w:val="none" w:sz="0" w:space="0" w:color="auto"/>
        <w:left w:val="none" w:sz="0" w:space="0" w:color="auto"/>
        <w:bottom w:val="none" w:sz="0" w:space="0" w:color="auto"/>
        <w:right w:val="none" w:sz="0" w:space="0" w:color="auto"/>
      </w:divBdr>
    </w:div>
    <w:div w:id="592590345">
      <w:bodyDiv w:val="1"/>
      <w:marLeft w:val="0"/>
      <w:marRight w:val="0"/>
      <w:marTop w:val="0"/>
      <w:marBottom w:val="0"/>
      <w:divBdr>
        <w:top w:val="none" w:sz="0" w:space="0" w:color="auto"/>
        <w:left w:val="none" w:sz="0" w:space="0" w:color="auto"/>
        <w:bottom w:val="none" w:sz="0" w:space="0" w:color="auto"/>
        <w:right w:val="none" w:sz="0" w:space="0" w:color="auto"/>
      </w:divBdr>
    </w:div>
    <w:div w:id="656961242">
      <w:bodyDiv w:val="1"/>
      <w:marLeft w:val="0"/>
      <w:marRight w:val="0"/>
      <w:marTop w:val="0"/>
      <w:marBottom w:val="0"/>
      <w:divBdr>
        <w:top w:val="none" w:sz="0" w:space="0" w:color="auto"/>
        <w:left w:val="none" w:sz="0" w:space="0" w:color="auto"/>
        <w:bottom w:val="none" w:sz="0" w:space="0" w:color="auto"/>
        <w:right w:val="none" w:sz="0" w:space="0" w:color="auto"/>
      </w:divBdr>
      <w:divsChild>
        <w:div w:id="572278398">
          <w:marLeft w:val="720"/>
          <w:marRight w:val="0"/>
          <w:marTop w:val="0"/>
          <w:marBottom w:val="120"/>
          <w:divBdr>
            <w:top w:val="none" w:sz="0" w:space="0" w:color="auto"/>
            <w:left w:val="none" w:sz="0" w:space="0" w:color="auto"/>
            <w:bottom w:val="none" w:sz="0" w:space="0" w:color="auto"/>
            <w:right w:val="none" w:sz="0" w:space="0" w:color="auto"/>
          </w:divBdr>
        </w:div>
        <w:div w:id="85463451">
          <w:marLeft w:val="720"/>
          <w:marRight w:val="0"/>
          <w:marTop w:val="0"/>
          <w:marBottom w:val="120"/>
          <w:divBdr>
            <w:top w:val="none" w:sz="0" w:space="0" w:color="auto"/>
            <w:left w:val="none" w:sz="0" w:space="0" w:color="auto"/>
            <w:bottom w:val="none" w:sz="0" w:space="0" w:color="auto"/>
            <w:right w:val="none" w:sz="0" w:space="0" w:color="auto"/>
          </w:divBdr>
        </w:div>
        <w:div w:id="1125343326">
          <w:marLeft w:val="720"/>
          <w:marRight w:val="0"/>
          <w:marTop w:val="0"/>
          <w:marBottom w:val="120"/>
          <w:divBdr>
            <w:top w:val="none" w:sz="0" w:space="0" w:color="auto"/>
            <w:left w:val="none" w:sz="0" w:space="0" w:color="auto"/>
            <w:bottom w:val="none" w:sz="0" w:space="0" w:color="auto"/>
            <w:right w:val="none" w:sz="0" w:space="0" w:color="auto"/>
          </w:divBdr>
        </w:div>
        <w:div w:id="958875153">
          <w:marLeft w:val="720"/>
          <w:marRight w:val="0"/>
          <w:marTop w:val="0"/>
          <w:marBottom w:val="120"/>
          <w:divBdr>
            <w:top w:val="none" w:sz="0" w:space="0" w:color="auto"/>
            <w:left w:val="none" w:sz="0" w:space="0" w:color="auto"/>
            <w:bottom w:val="none" w:sz="0" w:space="0" w:color="auto"/>
            <w:right w:val="none" w:sz="0" w:space="0" w:color="auto"/>
          </w:divBdr>
        </w:div>
        <w:div w:id="661206071">
          <w:marLeft w:val="720"/>
          <w:marRight w:val="0"/>
          <w:marTop w:val="0"/>
          <w:marBottom w:val="120"/>
          <w:divBdr>
            <w:top w:val="none" w:sz="0" w:space="0" w:color="auto"/>
            <w:left w:val="none" w:sz="0" w:space="0" w:color="auto"/>
            <w:bottom w:val="none" w:sz="0" w:space="0" w:color="auto"/>
            <w:right w:val="none" w:sz="0" w:space="0" w:color="auto"/>
          </w:divBdr>
        </w:div>
      </w:divsChild>
    </w:div>
    <w:div w:id="746808720">
      <w:bodyDiv w:val="1"/>
      <w:marLeft w:val="0"/>
      <w:marRight w:val="0"/>
      <w:marTop w:val="0"/>
      <w:marBottom w:val="0"/>
      <w:divBdr>
        <w:top w:val="none" w:sz="0" w:space="0" w:color="auto"/>
        <w:left w:val="none" w:sz="0" w:space="0" w:color="auto"/>
        <w:bottom w:val="none" w:sz="0" w:space="0" w:color="auto"/>
        <w:right w:val="none" w:sz="0" w:space="0" w:color="auto"/>
      </w:divBdr>
    </w:div>
    <w:div w:id="827982733">
      <w:bodyDiv w:val="1"/>
      <w:marLeft w:val="0"/>
      <w:marRight w:val="0"/>
      <w:marTop w:val="0"/>
      <w:marBottom w:val="0"/>
      <w:divBdr>
        <w:top w:val="none" w:sz="0" w:space="0" w:color="auto"/>
        <w:left w:val="none" w:sz="0" w:space="0" w:color="auto"/>
        <w:bottom w:val="none" w:sz="0" w:space="0" w:color="auto"/>
        <w:right w:val="none" w:sz="0" w:space="0" w:color="auto"/>
      </w:divBdr>
    </w:div>
    <w:div w:id="1272324979">
      <w:bodyDiv w:val="1"/>
      <w:marLeft w:val="0"/>
      <w:marRight w:val="0"/>
      <w:marTop w:val="0"/>
      <w:marBottom w:val="0"/>
      <w:divBdr>
        <w:top w:val="none" w:sz="0" w:space="0" w:color="auto"/>
        <w:left w:val="none" w:sz="0" w:space="0" w:color="auto"/>
        <w:bottom w:val="none" w:sz="0" w:space="0" w:color="auto"/>
        <w:right w:val="none" w:sz="0" w:space="0" w:color="auto"/>
      </w:divBdr>
      <w:divsChild>
        <w:div w:id="1743136997">
          <w:marLeft w:val="547"/>
          <w:marRight w:val="0"/>
          <w:marTop w:val="144"/>
          <w:marBottom w:val="0"/>
          <w:divBdr>
            <w:top w:val="none" w:sz="0" w:space="0" w:color="auto"/>
            <w:left w:val="none" w:sz="0" w:space="0" w:color="auto"/>
            <w:bottom w:val="none" w:sz="0" w:space="0" w:color="auto"/>
            <w:right w:val="none" w:sz="0" w:space="0" w:color="auto"/>
          </w:divBdr>
        </w:div>
        <w:div w:id="1363169736">
          <w:marLeft w:val="547"/>
          <w:marRight w:val="0"/>
          <w:marTop w:val="144"/>
          <w:marBottom w:val="0"/>
          <w:divBdr>
            <w:top w:val="none" w:sz="0" w:space="0" w:color="auto"/>
            <w:left w:val="none" w:sz="0" w:space="0" w:color="auto"/>
            <w:bottom w:val="none" w:sz="0" w:space="0" w:color="auto"/>
            <w:right w:val="none" w:sz="0" w:space="0" w:color="auto"/>
          </w:divBdr>
        </w:div>
        <w:div w:id="623005829">
          <w:marLeft w:val="547"/>
          <w:marRight w:val="0"/>
          <w:marTop w:val="144"/>
          <w:marBottom w:val="0"/>
          <w:divBdr>
            <w:top w:val="none" w:sz="0" w:space="0" w:color="auto"/>
            <w:left w:val="none" w:sz="0" w:space="0" w:color="auto"/>
            <w:bottom w:val="none" w:sz="0" w:space="0" w:color="auto"/>
            <w:right w:val="none" w:sz="0" w:space="0" w:color="auto"/>
          </w:divBdr>
        </w:div>
        <w:div w:id="2112966665">
          <w:marLeft w:val="547"/>
          <w:marRight w:val="0"/>
          <w:marTop w:val="144"/>
          <w:marBottom w:val="0"/>
          <w:divBdr>
            <w:top w:val="none" w:sz="0" w:space="0" w:color="auto"/>
            <w:left w:val="none" w:sz="0" w:space="0" w:color="auto"/>
            <w:bottom w:val="none" w:sz="0" w:space="0" w:color="auto"/>
            <w:right w:val="none" w:sz="0" w:space="0" w:color="auto"/>
          </w:divBdr>
        </w:div>
        <w:div w:id="1031033630">
          <w:marLeft w:val="547"/>
          <w:marRight w:val="0"/>
          <w:marTop w:val="144"/>
          <w:marBottom w:val="0"/>
          <w:divBdr>
            <w:top w:val="none" w:sz="0" w:space="0" w:color="auto"/>
            <w:left w:val="none" w:sz="0" w:space="0" w:color="auto"/>
            <w:bottom w:val="none" w:sz="0" w:space="0" w:color="auto"/>
            <w:right w:val="none" w:sz="0" w:space="0" w:color="auto"/>
          </w:divBdr>
        </w:div>
      </w:divsChild>
    </w:div>
    <w:div w:id="1278368884">
      <w:bodyDiv w:val="1"/>
      <w:marLeft w:val="0"/>
      <w:marRight w:val="0"/>
      <w:marTop w:val="0"/>
      <w:marBottom w:val="0"/>
      <w:divBdr>
        <w:top w:val="none" w:sz="0" w:space="0" w:color="auto"/>
        <w:left w:val="none" w:sz="0" w:space="0" w:color="auto"/>
        <w:bottom w:val="none" w:sz="0" w:space="0" w:color="auto"/>
        <w:right w:val="none" w:sz="0" w:space="0" w:color="auto"/>
      </w:divBdr>
      <w:divsChild>
        <w:div w:id="1378434007">
          <w:marLeft w:val="547"/>
          <w:marRight w:val="0"/>
          <w:marTop w:val="0"/>
          <w:marBottom w:val="0"/>
          <w:divBdr>
            <w:top w:val="none" w:sz="0" w:space="0" w:color="auto"/>
            <w:left w:val="none" w:sz="0" w:space="0" w:color="auto"/>
            <w:bottom w:val="none" w:sz="0" w:space="0" w:color="auto"/>
            <w:right w:val="none" w:sz="0" w:space="0" w:color="auto"/>
          </w:divBdr>
        </w:div>
      </w:divsChild>
    </w:div>
    <w:div w:id="1292708472">
      <w:bodyDiv w:val="1"/>
      <w:marLeft w:val="0"/>
      <w:marRight w:val="0"/>
      <w:marTop w:val="0"/>
      <w:marBottom w:val="0"/>
      <w:divBdr>
        <w:top w:val="none" w:sz="0" w:space="0" w:color="auto"/>
        <w:left w:val="none" w:sz="0" w:space="0" w:color="auto"/>
        <w:bottom w:val="none" w:sz="0" w:space="0" w:color="auto"/>
        <w:right w:val="none" w:sz="0" w:space="0" w:color="auto"/>
      </w:divBdr>
    </w:div>
    <w:div w:id="20570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CD82-2CA7-424B-8ABB-50D4539D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1216</Words>
  <Characters>6933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RODENBACH, Etienne</dc:creator>
  <cp:keywords/>
  <dc:description/>
  <cp:lastModifiedBy>ndikumanamj@gmail.com</cp:lastModifiedBy>
  <cp:revision>2</cp:revision>
  <dcterms:created xsi:type="dcterms:W3CDTF">2025-06-24T17:17:00Z</dcterms:created>
  <dcterms:modified xsi:type="dcterms:W3CDTF">2025-06-24T17:17:00Z</dcterms:modified>
</cp:coreProperties>
</file>